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F954E">
      <w:pPr>
        <w:pStyle w:val="21"/>
        <w:jc w:val="center"/>
        <w:rPr>
          <w:rFonts w:hint="eastAsia" w:ascii="仿宋_GB2312" w:hAnsi="仿宋_GB2312" w:eastAsia="仿宋_GB2312" w:cs="仿宋_GB2312"/>
          <w:color w:val="auto"/>
          <w:sz w:val="44"/>
          <w:szCs w:val="44"/>
          <w:highlight w:val="none"/>
          <w:lang w:eastAsia="zh-CN"/>
        </w:rPr>
      </w:pPr>
      <w:r>
        <w:rPr>
          <w:rFonts w:hint="eastAsia" w:ascii="仿宋_GB2312" w:hAnsi="仿宋_GB2312" w:eastAsia="仿宋_GB2312" w:cs="仿宋_GB2312"/>
          <w:color w:val="auto"/>
          <w:sz w:val="44"/>
          <w:szCs w:val="44"/>
          <w:highlight w:val="none"/>
          <w:lang w:eastAsia="zh-CN"/>
        </w:rPr>
        <w:t>拟签订采购合同文本</w:t>
      </w:r>
    </w:p>
    <w:p w14:paraId="5E1CDA16">
      <w:pPr>
        <w:pStyle w:val="21"/>
        <w:jc w:val="center"/>
        <w:rPr>
          <w:rFonts w:hint="eastAsia" w:ascii="仿宋_GB2312" w:hAnsi="仿宋_GB2312" w:eastAsia="仿宋_GB2312" w:cs="仿宋_GB2312"/>
          <w:color w:val="auto"/>
          <w:sz w:val="44"/>
          <w:szCs w:val="44"/>
          <w:highlight w:val="none"/>
          <w:lang w:eastAsia="zh-CN"/>
        </w:rPr>
      </w:pPr>
    </w:p>
    <w:p w14:paraId="3EAF2A32">
      <w:pPr>
        <w:pStyle w:val="21"/>
        <w:jc w:val="center"/>
        <w:rPr>
          <w:rFonts w:hint="eastAsia" w:ascii="仿宋_GB2312" w:hAnsi="仿宋_GB2312" w:eastAsia="仿宋_GB2312" w:cs="仿宋_GB2312"/>
          <w:color w:val="auto"/>
          <w:sz w:val="44"/>
          <w:szCs w:val="44"/>
          <w:highlight w:val="none"/>
          <w:lang w:eastAsia="zh-CN"/>
        </w:rPr>
      </w:pPr>
    </w:p>
    <w:p w14:paraId="4C906DDE">
      <w:pPr>
        <w:pStyle w:val="21"/>
        <w:jc w:val="center"/>
        <w:rPr>
          <w:rFonts w:hint="eastAsia" w:ascii="仿宋_GB2312" w:hAnsi="仿宋_GB2312" w:eastAsia="仿宋_GB2312" w:cs="仿宋_GB2312"/>
          <w:color w:val="auto"/>
          <w:sz w:val="44"/>
          <w:szCs w:val="44"/>
          <w:highlight w:val="none"/>
          <w:lang w:eastAsia="zh-CN"/>
        </w:rPr>
      </w:pPr>
      <w:bookmarkStart w:id="1" w:name="_GoBack"/>
      <w:r>
        <w:rPr>
          <w:rFonts w:hint="eastAsia" w:ascii="仿宋_GB2312" w:hAnsi="仿宋_GB2312" w:eastAsia="仿宋_GB2312" w:cs="仿宋_GB2312"/>
          <w:color w:val="auto"/>
          <w:sz w:val="44"/>
          <w:szCs w:val="44"/>
          <w:highlight w:val="none"/>
          <w:lang w:eastAsia="zh-CN"/>
        </w:rPr>
        <w:t>西延高铁330千伏供电工程征迁项目南郑村、马寨村、呼侯村铲青覆盖及垃圾清运等工程</w:t>
      </w:r>
      <w:bookmarkEnd w:id="1"/>
    </w:p>
    <w:p w14:paraId="794821F8">
      <w:pPr>
        <w:pStyle w:val="21"/>
        <w:jc w:val="center"/>
        <w:rPr>
          <w:rFonts w:hint="eastAsia" w:ascii="仿宋_GB2312" w:hAnsi="仿宋_GB2312" w:eastAsia="仿宋_GB2312" w:cs="仿宋_GB2312"/>
          <w:color w:val="auto"/>
          <w:sz w:val="44"/>
          <w:szCs w:val="44"/>
          <w:highlight w:val="none"/>
        </w:rPr>
      </w:pPr>
    </w:p>
    <w:p w14:paraId="3AEA715B">
      <w:pPr>
        <w:pStyle w:val="21"/>
        <w:jc w:val="center"/>
        <w:rPr>
          <w:rFonts w:hint="eastAsia" w:ascii="仿宋_GB2312" w:hAnsi="仿宋_GB2312" w:eastAsia="仿宋_GB2312" w:cs="仿宋_GB2312"/>
          <w:color w:val="auto"/>
          <w:sz w:val="44"/>
          <w:szCs w:val="44"/>
          <w:highlight w:val="none"/>
        </w:rPr>
      </w:pPr>
    </w:p>
    <w:p w14:paraId="22CE14B9">
      <w:pPr>
        <w:pStyle w:val="21"/>
        <w:jc w:val="center"/>
        <w:rPr>
          <w:rFonts w:hint="eastAsia" w:ascii="仿宋_GB2312" w:hAnsi="仿宋_GB2312" w:eastAsia="仿宋_GB2312" w:cs="仿宋_GB2312"/>
          <w:color w:val="auto"/>
          <w:sz w:val="44"/>
          <w:szCs w:val="44"/>
          <w:highlight w:val="none"/>
        </w:rPr>
      </w:pPr>
    </w:p>
    <w:p w14:paraId="76560DE4">
      <w:pPr>
        <w:pStyle w:val="21"/>
        <w:jc w:val="center"/>
        <w:rPr>
          <w:rFonts w:hint="eastAsia" w:ascii="仿宋_GB2312" w:hAnsi="仿宋_GB2312" w:eastAsia="仿宋_GB2312" w:cs="仿宋_GB2312"/>
          <w:color w:val="auto"/>
          <w:sz w:val="44"/>
          <w:szCs w:val="44"/>
          <w:highlight w:val="none"/>
        </w:rPr>
      </w:pPr>
      <w:r>
        <w:rPr>
          <w:rFonts w:hint="eastAsia" w:ascii="仿宋_GB2312" w:hAnsi="仿宋_GB2312" w:eastAsia="仿宋_GB2312" w:cs="仿宋_GB2312"/>
          <w:color w:val="auto"/>
          <w:sz w:val="44"/>
          <w:szCs w:val="44"/>
          <w:highlight w:val="none"/>
        </w:rPr>
        <w:t>合 同 书</w:t>
      </w:r>
    </w:p>
    <w:p w14:paraId="1AA74146">
      <w:pPr>
        <w:pStyle w:val="21"/>
        <w:rPr>
          <w:rFonts w:hint="eastAsia" w:ascii="仿宋_GB2312" w:hAnsi="仿宋_GB2312" w:eastAsia="仿宋_GB2312" w:cs="仿宋_GB2312"/>
          <w:color w:val="auto"/>
          <w:highlight w:val="none"/>
        </w:rPr>
      </w:pPr>
    </w:p>
    <w:p w14:paraId="7204449F">
      <w:pPr>
        <w:pStyle w:val="21"/>
        <w:rPr>
          <w:rFonts w:hint="eastAsia" w:ascii="仿宋_GB2312" w:hAnsi="仿宋_GB2312" w:eastAsia="仿宋_GB2312" w:cs="仿宋_GB2312"/>
          <w:color w:val="auto"/>
          <w:highlight w:val="none"/>
        </w:rPr>
      </w:pPr>
    </w:p>
    <w:p w14:paraId="3023988A">
      <w:pPr>
        <w:pStyle w:val="21"/>
        <w:rPr>
          <w:rFonts w:hint="eastAsia" w:ascii="仿宋_GB2312" w:hAnsi="仿宋_GB2312" w:eastAsia="仿宋_GB2312" w:cs="仿宋_GB2312"/>
          <w:color w:val="auto"/>
          <w:highlight w:val="none"/>
        </w:rPr>
      </w:pPr>
    </w:p>
    <w:p w14:paraId="1F4D1FC3">
      <w:pPr>
        <w:pStyle w:val="21"/>
        <w:rPr>
          <w:rFonts w:hint="eastAsia" w:ascii="仿宋_GB2312" w:hAnsi="仿宋_GB2312" w:eastAsia="仿宋_GB2312" w:cs="仿宋_GB2312"/>
          <w:color w:val="auto"/>
          <w:highlight w:val="none"/>
        </w:rPr>
      </w:pPr>
    </w:p>
    <w:p w14:paraId="02B0AF4B">
      <w:pPr>
        <w:pStyle w:val="21"/>
        <w:rPr>
          <w:rFonts w:hint="eastAsia" w:ascii="仿宋_GB2312" w:hAnsi="仿宋_GB2312" w:eastAsia="仿宋_GB2312" w:cs="仿宋_GB2312"/>
          <w:color w:val="auto"/>
          <w:highlight w:val="none"/>
        </w:rPr>
      </w:pPr>
    </w:p>
    <w:p w14:paraId="49825CA0">
      <w:pPr>
        <w:pStyle w:val="21"/>
        <w:rPr>
          <w:rFonts w:hint="eastAsia" w:ascii="仿宋_GB2312" w:hAnsi="仿宋_GB2312" w:eastAsia="仿宋_GB2312" w:cs="仿宋_GB2312"/>
          <w:color w:val="auto"/>
          <w:highlight w:val="none"/>
        </w:rPr>
      </w:pPr>
    </w:p>
    <w:p w14:paraId="789F252F">
      <w:pPr>
        <w:pStyle w:val="21"/>
        <w:rPr>
          <w:rFonts w:hint="eastAsia" w:ascii="仿宋_GB2312" w:hAnsi="仿宋_GB2312" w:eastAsia="仿宋_GB2312" w:cs="仿宋_GB2312"/>
          <w:color w:val="auto"/>
          <w:highlight w:val="none"/>
        </w:rPr>
      </w:pPr>
    </w:p>
    <w:p w14:paraId="41C88D5A">
      <w:pPr>
        <w:pStyle w:val="21"/>
        <w:rPr>
          <w:rFonts w:hint="eastAsia" w:ascii="仿宋_GB2312" w:hAnsi="仿宋_GB2312" w:eastAsia="仿宋_GB2312" w:cs="仿宋_GB2312"/>
          <w:color w:val="auto"/>
          <w:highlight w:val="none"/>
        </w:rPr>
      </w:pPr>
    </w:p>
    <w:p w14:paraId="547D901C">
      <w:pPr>
        <w:pStyle w:val="21"/>
        <w:rPr>
          <w:rFonts w:hint="eastAsia" w:ascii="仿宋_GB2312" w:hAnsi="仿宋_GB2312" w:eastAsia="仿宋_GB2312" w:cs="仿宋_GB2312"/>
          <w:color w:val="auto"/>
          <w:highlight w:val="none"/>
        </w:rPr>
      </w:pPr>
    </w:p>
    <w:p w14:paraId="1548C7BF">
      <w:pPr>
        <w:pStyle w:val="21"/>
        <w:rPr>
          <w:rFonts w:hint="eastAsia" w:ascii="仿宋_GB2312" w:hAnsi="仿宋_GB2312" w:eastAsia="仿宋_GB2312" w:cs="仿宋_GB2312"/>
          <w:color w:val="auto"/>
          <w:highlight w:val="none"/>
        </w:rPr>
      </w:pPr>
    </w:p>
    <w:p w14:paraId="56944769">
      <w:pPr>
        <w:pStyle w:val="21"/>
        <w:rPr>
          <w:rFonts w:hint="eastAsia" w:ascii="仿宋_GB2312" w:hAnsi="仿宋_GB2312" w:eastAsia="仿宋_GB2312" w:cs="仿宋_GB2312"/>
          <w:color w:val="auto"/>
          <w:highlight w:val="none"/>
        </w:rPr>
      </w:pPr>
    </w:p>
    <w:p w14:paraId="7440DA50">
      <w:pPr>
        <w:pStyle w:val="21"/>
        <w:rPr>
          <w:rFonts w:hint="eastAsia" w:ascii="仿宋_GB2312" w:hAnsi="仿宋_GB2312" w:eastAsia="仿宋_GB2312" w:cs="仿宋_GB2312"/>
          <w:color w:val="auto"/>
          <w:highlight w:val="none"/>
        </w:rPr>
      </w:pPr>
    </w:p>
    <w:p w14:paraId="6154DCFB">
      <w:pPr>
        <w:pStyle w:val="21"/>
        <w:jc w:val="center"/>
        <w:rPr>
          <w:rFonts w:hint="eastAsia" w:ascii="仿宋_GB2312" w:hAnsi="仿宋_GB2312" w:eastAsia="仿宋_GB2312" w:cs="仿宋_GB2312"/>
          <w:color w:val="auto"/>
          <w:sz w:val="32"/>
          <w:szCs w:val="32"/>
          <w:highlight w:val="none"/>
        </w:rPr>
      </w:pPr>
    </w:p>
    <w:p w14:paraId="5F2BF4CC">
      <w:pPr>
        <w:pStyle w:val="21"/>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甲方(</w:t>
      </w: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采购人</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w:t>
      </w:r>
    </w:p>
    <w:p w14:paraId="40DBA65A">
      <w:pPr>
        <w:pStyle w:val="21"/>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乙方</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(供应商)：</w:t>
      </w:r>
    </w:p>
    <w:p w14:paraId="0E49599A">
      <w:pPr>
        <w:pStyle w:val="21"/>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签订时间：年月日</w:t>
      </w:r>
    </w:p>
    <w:p w14:paraId="3149817D">
      <w:pPr>
        <w:pStyle w:val="21"/>
        <w:rPr>
          <w:rFonts w:hint="eastAsia" w:ascii="仿宋_GB2312" w:hAnsi="仿宋_GB2312" w:eastAsia="仿宋_GB2312" w:cs="仿宋_GB2312"/>
          <w:color w:val="auto"/>
          <w:highlight w:val="none"/>
        </w:rPr>
      </w:pPr>
    </w:p>
    <w:p w14:paraId="7470B117">
      <w:pPr>
        <w:pStyle w:val="21"/>
        <w:rPr>
          <w:rFonts w:hint="eastAsia" w:ascii="仿宋_GB2312" w:hAnsi="仿宋_GB2312" w:eastAsia="仿宋_GB2312" w:cs="仿宋_GB2312"/>
          <w:color w:val="auto"/>
          <w:highlight w:val="none"/>
        </w:rPr>
      </w:pPr>
    </w:p>
    <w:p w14:paraId="2F2A2E78">
      <w:pPr>
        <w:pStyle w:val="21"/>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br w:type="page"/>
      </w:r>
      <w:r>
        <w:rPr>
          <w:rFonts w:hint="eastAsia" w:ascii="仿宋_GB2312" w:hAnsi="仿宋_GB2312" w:eastAsia="仿宋_GB2312" w:cs="仿宋_GB2312"/>
          <w:color w:val="auto"/>
          <w:highlight w:val="none"/>
        </w:rPr>
        <w:t>采购人（以下简称甲方）：</w:t>
      </w:r>
      <w:r>
        <w:rPr>
          <w:rFonts w:hint="eastAsia" w:ascii="仿宋_GB2312" w:hAnsi="仿宋_GB2312" w:eastAsia="仿宋_GB2312" w:cs="仿宋_GB2312"/>
          <w:color w:val="auto"/>
          <w:highlight w:val="none"/>
          <w:u w:val="single"/>
        </w:rPr>
        <w:t xml:space="preserve">                </w:t>
      </w:r>
    </w:p>
    <w:p w14:paraId="2AB944D1">
      <w:pPr>
        <w:pStyle w:val="21"/>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供应商（以下简称乙方）：</w:t>
      </w:r>
      <w:r>
        <w:rPr>
          <w:rFonts w:hint="eastAsia" w:ascii="仿宋_GB2312" w:hAnsi="仿宋_GB2312" w:eastAsia="仿宋_GB2312" w:cs="仿宋_GB2312"/>
          <w:color w:val="auto"/>
          <w:highlight w:val="none"/>
          <w:u w:val="single"/>
        </w:rPr>
        <w:t xml:space="preserve">                </w:t>
      </w:r>
    </w:p>
    <w:p w14:paraId="32F847DA">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根据《中华人民共和国民法典》及其它有关法律、行政法规，为明确双方在施工过程中的权利、义务，经双方协商自愿签订本合同。</w:t>
      </w:r>
    </w:p>
    <w:p w14:paraId="2EA90DF5">
      <w:pPr>
        <w:pStyle w:val="21"/>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第一条  工程项目</w:t>
      </w:r>
    </w:p>
    <w:p w14:paraId="617068E2">
      <w:pPr>
        <w:pStyle w:val="21"/>
        <w:ind w:firstLine="400" w:firstLineChars="200"/>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一、项目名称：</w:t>
      </w:r>
      <w:r>
        <w:rPr>
          <w:rFonts w:hint="eastAsia" w:ascii="仿宋_GB2312" w:hAnsi="仿宋_GB2312" w:eastAsia="仿宋_GB2312" w:cs="仿宋_GB2312"/>
          <w:color w:val="auto"/>
          <w:highlight w:val="none"/>
          <w:lang w:eastAsia="zh-CN"/>
        </w:rPr>
        <w:t>新西延高铁330千伏供电工程征迁项目南郑村、马寨村、呼侯村铲青覆盖及垃圾清运等工程</w:t>
      </w:r>
    </w:p>
    <w:p w14:paraId="062ECA3D">
      <w:pPr>
        <w:pStyle w:val="21"/>
        <w:ind w:firstLine="400" w:firstLineChars="200"/>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二、工程地点：新合街道南郑村、马寨村、呼侯村</w:t>
      </w:r>
      <w:r>
        <w:rPr>
          <w:rFonts w:hint="eastAsia" w:ascii="仿宋_GB2312" w:hAnsi="仿宋_GB2312" w:eastAsia="仿宋_GB2312" w:cs="仿宋_GB2312"/>
          <w:color w:val="auto"/>
          <w:highlight w:val="none"/>
          <w:lang w:eastAsia="zh-CN"/>
        </w:rPr>
        <w:t>。</w:t>
      </w:r>
    </w:p>
    <w:p w14:paraId="669AD694">
      <w:pPr>
        <w:pStyle w:val="21"/>
        <w:ind w:firstLine="400" w:firstLineChars="200"/>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三、工程内容：</w:t>
      </w:r>
      <w:r>
        <w:rPr>
          <w:rFonts w:hint="eastAsia" w:ascii="仿宋_GB2312" w:hAnsi="仿宋_GB2312" w:eastAsia="仿宋_GB2312" w:cs="仿宋_GB2312"/>
          <w:color w:val="auto"/>
          <w:highlight w:val="none"/>
          <w:lang w:val="en-US" w:eastAsia="zh-CN"/>
        </w:rPr>
        <w:t>采购西延高铁330千伏供电工程征迁项目南郑村、马寨村、呼侯村铲青覆盖及垃圾清运等工程。主要包括垃圾清运1.6万方，围墙圈建1300米等相关工程。</w:t>
      </w:r>
    </w:p>
    <w:p w14:paraId="746B40AA">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四、合同价款方式：含税完全综合单价</w:t>
      </w:r>
    </w:p>
    <w:p w14:paraId="020ED90E">
      <w:pPr>
        <w:pStyle w:val="21"/>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第二条  施工依据</w:t>
      </w:r>
    </w:p>
    <w:p w14:paraId="2162D6AF">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一、施工合同；</w:t>
      </w:r>
    </w:p>
    <w:p w14:paraId="64576F7A">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二、</w:t>
      </w:r>
      <w:r>
        <w:rPr>
          <w:rFonts w:hint="eastAsia" w:ascii="仿宋_GB2312" w:hAnsi="仿宋_GB2312" w:eastAsia="仿宋_GB2312" w:cs="仿宋_GB2312"/>
          <w:color w:val="auto"/>
          <w:highlight w:val="none"/>
          <w:lang w:eastAsia="zh-CN"/>
        </w:rPr>
        <w:t>成交</w:t>
      </w:r>
      <w:r>
        <w:rPr>
          <w:rFonts w:hint="eastAsia" w:ascii="仿宋_GB2312" w:hAnsi="仿宋_GB2312" w:eastAsia="仿宋_GB2312" w:cs="仿宋_GB2312"/>
          <w:color w:val="auto"/>
          <w:highlight w:val="none"/>
        </w:rPr>
        <w:t>通知书；</w:t>
      </w:r>
    </w:p>
    <w:p w14:paraId="6C723AC8">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三、采购文件、响应文件及其附件；</w:t>
      </w:r>
    </w:p>
    <w:p w14:paraId="7C470979">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四、标准、规范及有关技术文件；</w:t>
      </w:r>
    </w:p>
    <w:p w14:paraId="300085B4">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五、工程量清单；</w:t>
      </w:r>
    </w:p>
    <w:p w14:paraId="1800C95A">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六、工程报价单；</w:t>
      </w:r>
    </w:p>
    <w:p w14:paraId="14243A94">
      <w:pPr>
        <w:pStyle w:val="21"/>
        <w:ind w:firstLine="40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七、双方有关工程的洽商、变更等书面协议或文件视为施工合同的组成部分。</w:t>
      </w:r>
    </w:p>
    <w:p w14:paraId="0E17875F">
      <w:pPr>
        <w:pStyle w:val="21"/>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第三条  工程期限</w:t>
      </w:r>
    </w:p>
    <w:p w14:paraId="28D78CAA">
      <w:pPr>
        <w:pStyle w:val="21"/>
        <w:ind w:firstLine="400" w:firstLineChars="200"/>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w:t>
      </w:r>
      <w:r>
        <w:rPr>
          <w:rFonts w:hint="eastAsia" w:ascii="仿宋_GB2312" w:hAnsi="仿宋_GB2312" w:eastAsia="仿宋_GB2312" w:cs="仿宋_GB2312"/>
          <w:color w:val="auto"/>
          <w:highlight w:val="none"/>
        </w:rPr>
        <w:t>、工期：</w:t>
      </w:r>
      <w:r>
        <w:rPr>
          <w:rFonts w:hint="eastAsia" w:ascii="仿宋_GB2312" w:hAnsi="仿宋_GB2312" w:eastAsia="仿宋_GB2312" w:cs="仿宋_GB2312"/>
          <w:color w:val="auto"/>
          <w:highlight w:val="none"/>
          <w:lang w:val="en-US" w:eastAsia="zh-CN"/>
        </w:rPr>
        <w:t>自合同签订之日60日历天</w:t>
      </w:r>
    </w:p>
    <w:p w14:paraId="19C2ABCE">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、乙方须在合同签订之日起2天内进驻并编制施工方案，并经甲方书面同意；</w:t>
      </w:r>
    </w:p>
    <w:p w14:paraId="18E8A668">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三</w:t>
      </w:r>
      <w:r>
        <w:rPr>
          <w:rFonts w:hint="eastAsia" w:ascii="仿宋_GB2312" w:hAnsi="仿宋_GB2312" w:eastAsia="仿宋_GB2312" w:cs="仿宋_GB2312"/>
          <w:color w:val="auto"/>
          <w:highlight w:val="none"/>
        </w:rPr>
        <w:t>、乙方同意在合同签订之日起3天内开始施工；</w:t>
      </w:r>
    </w:p>
    <w:p w14:paraId="608CFCEB">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四</w:t>
      </w:r>
      <w:r>
        <w:rPr>
          <w:rFonts w:hint="eastAsia" w:ascii="仿宋_GB2312" w:hAnsi="仿宋_GB2312" w:eastAsia="仿宋_GB2312" w:cs="仿宋_GB2312"/>
          <w:color w:val="auto"/>
          <w:highlight w:val="none"/>
        </w:rPr>
        <w:t>、由于乙方原因造成工期延期视同乙方违约，则乙方赔付甲方违约金按照结算总价款3‰／天。</w:t>
      </w:r>
    </w:p>
    <w:p w14:paraId="13C35F9E">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五、</w:t>
      </w:r>
      <w:r>
        <w:rPr>
          <w:rFonts w:hint="eastAsia" w:ascii="仿宋_GB2312" w:hAnsi="仿宋_GB2312" w:eastAsia="仿宋_GB2312" w:cs="仿宋_GB2312"/>
          <w:color w:val="auto"/>
          <w:highlight w:val="none"/>
        </w:rPr>
        <w:t>如遇下列情况，经甲方现场代表签证后，工期可相应顺延（顺延工期应由甲、乙双方共同签字确认）</w:t>
      </w:r>
    </w:p>
    <w:p w14:paraId="0490BEDF">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rPr>
        <w:t>在施工中如因停电、停水８小时以上或连续间歇性停水、停电３天以上（每次连续４小时以上），影响正常施工；停水停电2天以上；</w:t>
      </w:r>
    </w:p>
    <w:p w14:paraId="0A61D854">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rPr>
        <w:t>遇阴雨天及不可抗力因素以及非中标人施工因素影响；</w:t>
      </w:r>
    </w:p>
    <w:p w14:paraId="49BD4654">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因人力不可抗拒的其他因素而延误工期。</w:t>
      </w:r>
      <w:bookmarkStart w:id="0" w:name="OLE_LINK48"/>
    </w:p>
    <w:p w14:paraId="42FAF8C1">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第四条  工程价款、结算及付款方式</w:t>
      </w:r>
    </w:p>
    <w:p w14:paraId="71C6AB88">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一</w:t>
      </w:r>
      <w:r>
        <w:rPr>
          <w:rFonts w:hint="eastAsia" w:ascii="仿宋_GB2312" w:hAnsi="仿宋_GB2312" w:eastAsia="仿宋_GB2312" w:cs="仿宋_GB2312"/>
          <w:color w:val="auto"/>
          <w:highlight w:val="none"/>
        </w:rPr>
        <w:t>、合同暂定总价（大写）：</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rPr>
        <w:t>元</w:t>
      </w:r>
    </w:p>
    <w:p w14:paraId="6D17D889">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                    （小写）：¥</w:t>
      </w:r>
      <w:r>
        <w:rPr>
          <w:rFonts w:hint="eastAsia" w:ascii="仿宋_GB2312" w:hAnsi="仿宋_GB2312" w:eastAsia="仿宋_GB2312" w:cs="仿宋_GB2312"/>
          <w:color w:val="auto"/>
          <w:highlight w:val="none"/>
          <w:u w:val="single"/>
        </w:rPr>
        <w:t>_________________</w:t>
      </w:r>
      <w:r>
        <w:rPr>
          <w:rFonts w:hint="eastAsia" w:ascii="仿宋_GB2312" w:hAnsi="仿宋_GB2312" w:eastAsia="仿宋_GB2312" w:cs="仿宋_GB2312"/>
          <w:color w:val="auto"/>
          <w:highlight w:val="none"/>
        </w:rPr>
        <w:t>元</w:t>
      </w:r>
    </w:p>
    <w:p w14:paraId="23672038">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、含税完全综合单价：</w:t>
      </w:r>
    </w:p>
    <w:tbl>
      <w:tblPr>
        <w:tblStyle w:val="14"/>
        <w:tblW w:w="8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2416"/>
        <w:gridCol w:w="1363"/>
        <w:gridCol w:w="2864"/>
        <w:gridCol w:w="1495"/>
      </w:tblGrid>
      <w:tr w14:paraId="2CEC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11" w:type="dxa"/>
            <w:noWrap w:val="0"/>
            <w:vAlign w:val="center"/>
          </w:tcPr>
          <w:p w14:paraId="36DBB9B5">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序号</w:t>
            </w:r>
          </w:p>
        </w:tc>
        <w:tc>
          <w:tcPr>
            <w:tcW w:w="2416" w:type="dxa"/>
            <w:noWrap w:val="0"/>
            <w:vAlign w:val="center"/>
          </w:tcPr>
          <w:p w14:paraId="57A84909">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清单项目</w:t>
            </w:r>
          </w:p>
        </w:tc>
        <w:tc>
          <w:tcPr>
            <w:tcW w:w="1363" w:type="dxa"/>
            <w:noWrap w:val="0"/>
            <w:vAlign w:val="center"/>
          </w:tcPr>
          <w:p w14:paraId="0F3AB7CB">
            <w:pPr>
              <w:pStyle w:val="21"/>
              <w:jc w:val="center"/>
              <w:rPr>
                <w:rFonts w:hint="eastAsia" w:ascii="仿宋" w:hAnsi="仿宋" w:eastAsia="仿宋" w:cs="仿宋"/>
                <w:color w:val="auto"/>
                <w:sz w:val="20"/>
                <w:szCs w:val="20"/>
                <w:highlight w:val="none"/>
                <w:lang w:eastAsia="zh-CN"/>
              </w:rPr>
            </w:pPr>
            <w:r>
              <w:rPr>
                <w:rFonts w:hint="eastAsia" w:ascii="仿宋_GB2312" w:hAnsi="仿宋_GB2312" w:eastAsia="仿宋_GB2312" w:cs="仿宋_GB2312"/>
                <w:color w:val="auto"/>
                <w:highlight w:val="none"/>
                <w:lang w:val="en-US" w:eastAsia="zh-CN"/>
              </w:rPr>
              <w:t>暂定</w:t>
            </w:r>
            <w:r>
              <w:rPr>
                <w:rFonts w:hint="eastAsia" w:ascii="仿宋" w:hAnsi="仿宋" w:eastAsia="仿宋" w:cs="仿宋"/>
                <w:color w:val="auto"/>
                <w:sz w:val="20"/>
                <w:szCs w:val="20"/>
                <w:highlight w:val="none"/>
                <w:lang w:val="en-US" w:eastAsia="zh-CN"/>
              </w:rPr>
              <w:t>工程量</w:t>
            </w:r>
          </w:p>
        </w:tc>
        <w:tc>
          <w:tcPr>
            <w:tcW w:w="2864" w:type="dxa"/>
            <w:noWrap w:val="0"/>
            <w:vAlign w:val="center"/>
          </w:tcPr>
          <w:p w14:paraId="56CDC2B4">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含税完全综合单价</w:t>
            </w:r>
          </w:p>
        </w:tc>
        <w:tc>
          <w:tcPr>
            <w:tcW w:w="1495" w:type="dxa"/>
            <w:noWrap w:val="0"/>
            <w:vAlign w:val="center"/>
          </w:tcPr>
          <w:p w14:paraId="0D836414">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r>
      <w:tr w14:paraId="09E6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1" w:type="dxa"/>
            <w:noWrap w:val="0"/>
            <w:vAlign w:val="center"/>
          </w:tcPr>
          <w:p w14:paraId="303E4EDC">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w:t>
            </w:r>
          </w:p>
        </w:tc>
        <w:tc>
          <w:tcPr>
            <w:tcW w:w="2416" w:type="dxa"/>
            <w:noWrap w:val="0"/>
            <w:vAlign w:val="center"/>
          </w:tcPr>
          <w:p w14:paraId="509BF8B3">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征地铲青</w:t>
            </w:r>
          </w:p>
        </w:tc>
        <w:tc>
          <w:tcPr>
            <w:tcW w:w="1363" w:type="dxa"/>
            <w:noWrap w:val="0"/>
            <w:vAlign w:val="center"/>
          </w:tcPr>
          <w:p w14:paraId="41DB9D15">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58</w:t>
            </w:r>
            <w:r>
              <w:rPr>
                <w:rFonts w:hint="eastAsia" w:ascii="仿宋" w:hAnsi="仿宋" w:eastAsia="仿宋" w:cs="仿宋"/>
                <w:color w:val="auto"/>
                <w:sz w:val="20"/>
                <w:szCs w:val="20"/>
                <w:highlight w:val="none"/>
              </w:rPr>
              <w:t>亩</w:t>
            </w:r>
          </w:p>
        </w:tc>
        <w:tc>
          <w:tcPr>
            <w:tcW w:w="2864" w:type="dxa"/>
            <w:noWrap w:val="0"/>
            <w:vAlign w:val="center"/>
          </w:tcPr>
          <w:p w14:paraId="5C80983B">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元/亩</w:t>
            </w:r>
          </w:p>
        </w:tc>
        <w:tc>
          <w:tcPr>
            <w:tcW w:w="1495" w:type="dxa"/>
            <w:noWrap w:val="0"/>
            <w:vAlign w:val="top"/>
          </w:tcPr>
          <w:p w14:paraId="041F98A4">
            <w:pPr>
              <w:pStyle w:val="21"/>
              <w:rPr>
                <w:rFonts w:hint="eastAsia" w:ascii="仿宋" w:hAnsi="仿宋" w:eastAsia="仿宋" w:cs="仿宋"/>
                <w:color w:val="auto"/>
                <w:sz w:val="20"/>
                <w:szCs w:val="20"/>
                <w:highlight w:val="none"/>
              </w:rPr>
            </w:pPr>
          </w:p>
        </w:tc>
      </w:tr>
      <w:tr w14:paraId="3464B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1" w:type="dxa"/>
            <w:noWrap w:val="0"/>
            <w:vAlign w:val="center"/>
          </w:tcPr>
          <w:p w14:paraId="62E69A8C">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w:t>
            </w:r>
          </w:p>
        </w:tc>
        <w:tc>
          <w:tcPr>
            <w:tcW w:w="2416" w:type="dxa"/>
            <w:noWrap w:val="0"/>
            <w:vAlign w:val="center"/>
          </w:tcPr>
          <w:p w14:paraId="637D7AB1">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垃圾清运</w:t>
            </w:r>
          </w:p>
        </w:tc>
        <w:tc>
          <w:tcPr>
            <w:tcW w:w="1363" w:type="dxa"/>
            <w:noWrap w:val="0"/>
            <w:vAlign w:val="center"/>
          </w:tcPr>
          <w:p w14:paraId="5979A35B">
            <w:pPr>
              <w:pStyle w:val="21"/>
              <w:jc w:val="center"/>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16000</w:t>
            </w:r>
            <w:r>
              <w:rPr>
                <w:rFonts w:hint="eastAsia" w:ascii="仿宋" w:hAnsi="仿宋" w:eastAsia="仿宋" w:cs="仿宋"/>
                <w:color w:val="auto"/>
                <w:sz w:val="20"/>
                <w:szCs w:val="20"/>
                <w:highlight w:val="none"/>
              </w:rPr>
              <w:t>m³</w:t>
            </w:r>
          </w:p>
        </w:tc>
        <w:tc>
          <w:tcPr>
            <w:tcW w:w="2864" w:type="dxa"/>
            <w:noWrap w:val="0"/>
            <w:vAlign w:val="center"/>
          </w:tcPr>
          <w:p w14:paraId="5A66B05C">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元/</w:t>
            </w:r>
            <w:r>
              <w:rPr>
                <w:rFonts w:hint="eastAsia" w:ascii="仿宋" w:hAnsi="仿宋" w:eastAsia="仿宋" w:cs="仿宋"/>
                <w:color w:val="auto"/>
                <w:sz w:val="20"/>
                <w:szCs w:val="20"/>
                <w:highlight w:val="none"/>
                <w:lang w:val="en-US" w:eastAsia="zh-CN"/>
              </w:rPr>
              <w:t>m³</w:t>
            </w:r>
          </w:p>
        </w:tc>
        <w:tc>
          <w:tcPr>
            <w:tcW w:w="1495" w:type="dxa"/>
            <w:noWrap w:val="0"/>
            <w:vAlign w:val="top"/>
          </w:tcPr>
          <w:p w14:paraId="0ADB06FB">
            <w:pPr>
              <w:pStyle w:val="21"/>
              <w:rPr>
                <w:rFonts w:hint="eastAsia" w:ascii="仿宋" w:hAnsi="仿宋" w:eastAsia="仿宋" w:cs="仿宋"/>
                <w:color w:val="auto"/>
                <w:sz w:val="20"/>
                <w:szCs w:val="20"/>
                <w:highlight w:val="none"/>
              </w:rPr>
            </w:pPr>
          </w:p>
        </w:tc>
      </w:tr>
      <w:tr w14:paraId="4E23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1" w:type="dxa"/>
            <w:noWrap w:val="0"/>
            <w:vAlign w:val="center"/>
          </w:tcPr>
          <w:p w14:paraId="67C668C8">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w:t>
            </w:r>
          </w:p>
        </w:tc>
        <w:tc>
          <w:tcPr>
            <w:tcW w:w="2416" w:type="dxa"/>
            <w:noWrap w:val="0"/>
            <w:vAlign w:val="center"/>
          </w:tcPr>
          <w:p w14:paraId="1A529CB8">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防尘网覆盖</w:t>
            </w:r>
          </w:p>
        </w:tc>
        <w:tc>
          <w:tcPr>
            <w:tcW w:w="1363" w:type="dxa"/>
            <w:noWrap w:val="0"/>
            <w:vAlign w:val="center"/>
          </w:tcPr>
          <w:p w14:paraId="6A44A557">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65</w:t>
            </w:r>
            <w:r>
              <w:rPr>
                <w:rFonts w:hint="eastAsia" w:ascii="仿宋" w:hAnsi="仿宋" w:eastAsia="仿宋" w:cs="仿宋"/>
                <w:color w:val="auto"/>
                <w:sz w:val="20"/>
                <w:szCs w:val="20"/>
                <w:highlight w:val="none"/>
              </w:rPr>
              <w:t>亩</w:t>
            </w:r>
          </w:p>
        </w:tc>
        <w:tc>
          <w:tcPr>
            <w:tcW w:w="2864" w:type="dxa"/>
            <w:noWrap w:val="0"/>
            <w:vAlign w:val="center"/>
          </w:tcPr>
          <w:p w14:paraId="0530A2F2">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元/亩</w:t>
            </w:r>
          </w:p>
        </w:tc>
        <w:tc>
          <w:tcPr>
            <w:tcW w:w="1495" w:type="dxa"/>
            <w:noWrap w:val="0"/>
            <w:vAlign w:val="top"/>
          </w:tcPr>
          <w:p w14:paraId="2788D6CE">
            <w:pPr>
              <w:pStyle w:val="21"/>
              <w:rPr>
                <w:rFonts w:hint="eastAsia" w:ascii="仿宋" w:hAnsi="仿宋" w:eastAsia="仿宋" w:cs="仿宋"/>
                <w:color w:val="auto"/>
                <w:sz w:val="20"/>
                <w:szCs w:val="20"/>
                <w:highlight w:val="none"/>
              </w:rPr>
            </w:pPr>
          </w:p>
        </w:tc>
      </w:tr>
      <w:tr w14:paraId="38EF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1" w:type="dxa"/>
            <w:noWrap w:val="0"/>
            <w:vAlign w:val="center"/>
          </w:tcPr>
          <w:p w14:paraId="4AA769FC">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w:t>
            </w:r>
          </w:p>
        </w:tc>
        <w:tc>
          <w:tcPr>
            <w:tcW w:w="2416" w:type="dxa"/>
            <w:noWrap w:val="0"/>
            <w:vAlign w:val="center"/>
          </w:tcPr>
          <w:p w14:paraId="1C20A21D">
            <w:pPr>
              <w:pStyle w:val="21"/>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地面</w:t>
            </w:r>
            <w:r>
              <w:rPr>
                <w:rFonts w:hint="eastAsia" w:ascii="仿宋" w:hAnsi="仿宋" w:eastAsia="仿宋" w:cs="仿宋"/>
                <w:color w:val="auto"/>
                <w:sz w:val="20"/>
                <w:szCs w:val="20"/>
                <w:highlight w:val="none"/>
              </w:rPr>
              <w:t>破除</w:t>
            </w:r>
          </w:p>
        </w:tc>
        <w:tc>
          <w:tcPr>
            <w:tcW w:w="1363" w:type="dxa"/>
            <w:noWrap w:val="0"/>
            <w:vAlign w:val="center"/>
          </w:tcPr>
          <w:p w14:paraId="2302EA51">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11000</w:t>
            </w:r>
            <w:r>
              <w:rPr>
                <w:rFonts w:hint="eastAsia" w:ascii="仿宋" w:hAnsi="仿宋" w:eastAsia="仿宋" w:cs="仿宋"/>
                <w:color w:val="auto"/>
                <w:sz w:val="20"/>
                <w:szCs w:val="20"/>
                <w:highlight w:val="none"/>
              </w:rPr>
              <w:t>㎡</w:t>
            </w:r>
          </w:p>
        </w:tc>
        <w:tc>
          <w:tcPr>
            <w:tcW w:w="2864" w:type="dxa"/>
            <w:noWrap w:val="0"/>
            <w:vAlign w:val="center"/>
          </w:tcPr>
          <w:p w14:paraId="2A09A13A">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元</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w:t>
            </w:r>
          </w:p>
        </w:tc>
        <w:tc>
          <w:tcPr>
            <w:tcW w:w="1495" w:type="dxa"/>
            <w:noWrap w:val="0"/>
            <w:vAlign w:val="top"/>
          </w:tcPr>
          <w:p w14:paraId="6AEDC693">
            <w:pPr>
              <w:pStyle w:val="21"/>
              <w:rPr>
                <w:rFonts w:hint="eastAsia" w:ascii="仿宋" w:hAnsi="仿宋" w:eastAsia="仿宋" w:cs="仿宋"/>
                <w:color w:val="auto"/>
                <w:sz w:val="20"/>
                <w:szCs w:val="20"/>
                <w:highlight w:val="none"/>
              </w:rPr>
            </w:pPr>
          </w:p>
        </w:tc>
      </w:tr>
      <w:tr w14:paraId="0A0E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1" w:type="dxa"/>
            <w:noWrap w:val="0"/>
            <w:vAlign w:val="center"/>
          </w:tcPr>
          <w:p w14:paraId="6E74C2EB">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w:t>
            </w:r>
          </w:p>
        </w:tc>
        <w:tc>
          <w:tcPr>
            <w:tcW w:w="2416" w:type="dxa"/>
            <w:noWrap w:val="0"/>
            <w:vAlign w:val="center"/>
          </w:tcPr>
          <w:p w14:paraId="01116034">
            <w:pPr>
              <w:pStyle w:val="21"/>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厂房拆除</w:t>
            </w:r>
          </w:p>
        </w:tc>
        <w:tc>
          <w:tcPr>
            <w:tcW w:w="1363" w:type="dxa"/>
            <w:noWrap w:val="0"/>
            <w:vAlign w:val="center"/>
          </w:tcPr>
          <w:p w14:paraId="5A7A00A1">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7000</w:t>
            </w:r>
            <w:r>
              <w:rPr>
                <w:rFonts w:hint="eastAsia" w:ascii="仿宋" w:hAnsi="仿宋" w:eastAsia="仿宋" w:cs="仿宋"/>
                <w:color w:val="auto"/>
                <w:sz w:val="20"/>
                <w:szCs w:val="20"/>
                <w:highlight w:val="none"/>
              </w:rPr>
              <w:t>㎡</w:t>
            </w:r>
          </w:p>
        </w:tc>
        <w:tc>
          <w:tcPr>
            <w:tcW w:w="2864" w:type="dxa"/>
            <w:noWrap w:val="0"/>
            <w:vAlign w:val="center"/>
          </w:tcPr>
          <w:p w14:paraId="2EFB83ED">
            <w:pPr>
              <w:pStyle w:val="21"/>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元</w:t>
            </w:r>
            <w:r>
              <w:rPr>
                <w:rFonts w:hint="eastAsia" w:ascii="仿宋" w:hAnsi="仿宋" w:eastAsia="仿宋" w:cs="仿宋"/>
                <w:color w:val="auto"/>
                <w:sz w:val="20"/>
                <w:szCs w:val="20"/>
                <w:highlight w:val="none"/>
              </w:rPr>
              <w:t>/㎡</w:t>
            </w:r>
          </w:p>
        </w:tc>
        <w:tc>
          <w:tcPr>
            <w:tcW w:w="1495" w:type="dxa"/>
            <w:noWrap w:val="0"/>
            <w:vAlign w:val="top"/>
          </w:tcPr>
          <w:p w14:paraId="355816DA">
            <w:pPr>
              <w:pStyle w:val="21"/>
              <w:rPr>
                <w:rFonts w:hint="eastAsia" w:ascii="仿宋" w:hAnsi="仿宋" w:eastAsia="仿宋" w:cs="仿宋"/>
                <w:color w:val="auto"/>
                <w:sz w:val="20"/>
                <w:szCs w:val="20"/>
                <w:highlight w:val="none"/>
              </w:rPr>
            </w:pPr>
          </w:p>
        </w:tc>
      </w:tr>
      <w:tr w14:paraId="3E9F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1" w:type="dxa"/>
            <w:noWrap w:val="0"/>
            <w:vAlign w:val="center"/>
          </w:tcPr>
          <w:p w14:paraId="3F28D8C0">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w:t>
            </w:r>
          </w:p>
        </w:tc>
        <w:tc>
          <w:tcPr>
            <w:tcW w:w="2416" w:type="dxa"/>
            <w:noWrap w:val="0"/>
            <w:vAlign w:val="center"/>
          </w:tcPr>
          <w:p w14:paraId="3358C092">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围墙圈建</w:t>
            </w:r>
          </w:p>
        </w:tc>
        <w:tc>
          <w:tcPr>
            <w:tcW w:w="1363" w:type="dxa"/>
            <w:noWrap w:val="0"/>
            <w:vAlign w:val="center"/>
          </w:tcPr>
          <w:p w14:paraId="4E78F776">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1300m</w:t>
            </w:r>
          </w:p>
        </w:tc>
        <w:tc>
          <w:tcPr>
            <w:tcW w:w="2864" w:type="dxa"/>
            <w:noWrap w:val="0"/>
            <w:vAlign w:val="center"/>
          </w:tcPr>
          <w:p w14:paraId="7512951D">
            <w:pPr>
              <w:pStyle w:val="21"/>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元/</w:t>
            </w:r>
            <w:r>
              <w:rPr>
                <w:rFonts w:hint="eastAsia" w:ascii="仿宋" w:hAnsi="仿宋" w:eastAsia="仿宋" w:cs="仿宋"/>
                <w:color w:val="auto"/>
                <w:sz w:val="20"/>
                <w:szCs w:val="20"/>
                <w:highlight w:val="none"/>
                <w:lang w:val="en-US" w:eastAsia="zh-CN"/>
              </w:rPr>
              <w:t>m</w:t>
            </w:r>
          </w:p>
        </w:tc>
        <w:tc>
          <w:tcPr>
            <w:tcW w:w="1495" w:type="dxa"/>
            <w:noWrap w:val="0"/>
            <w:vAlign w:val="top"/>
          </w:tcPr>
          <w:p w14:paraId="0832EF66">
            <w:pPr>
              <w:pStyle w:val="21"/>
              <w:rPr>
                <w:rFonts w:hint="eastAsia" w:ascii="仿宋" w:hAnsi="仿宋" w:eastAsia="仿宋" w:cs="仿宋"/>
                <w:color w:val="auto"/>
                <w:sz w:val="20"/>
                <w:szCs w:val="20"/>
                <w:highlight w:val="none"/>
              </w:rPr>
            </w:pPr>
          </w:p>
        </w:tc>
      </w:tr>
      <w:bookmarkEnd w:id="0"/>
    </w:tbl>
    <w:p w14:paraId="3A362D44">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付款方式：</w:t>
      </w:r>
    </w:p>
    <w:p w14:paraId="4C2DC408">
      <w:pPr>
        <w:pStyle w:val="21"/>
        <w:ind w:firstLine="400" w:firstLineChars="200"/>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项目施工内容完成暂定工程量的50%时，经甲方审核确认，据实结算并支付已完工程量价款的80%；项目竣工验收合格，据实结算并支付剩余工程价款。</w:t>
      </w:r>
    </w:p>
    <w:p w14:paraId="0374ADA3">
      <w:pPr>
        <w:pStyle w:val="21"/>
        <w:numPr>
          <w:ilvl w:val="0"/>
          <w:numId w:val="2"/>
        </w:numPr>
        <w:ind w:left="0" w:leftChars="0"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付款依据：合同、采购文件、响应文件、工程量确认单、甲方出具的验收报告、乙方提供的发票及付款申请。</w:t>
      </w:r>
    </w:p>
    <w:p w14:paraId="0F941936">
      <w:pPr>
        <w:pStyle w:val="21"/>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5、合同范围外变更价款调整方式：</w:t>
      </w:r>
    </w:p>
    <w:p w14:paraId="313A5952">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因非乙方原因的工程变更签证，造成增加新的工程量清单项目，其对应的综合单价按下列方法确定。</w:t>
      </w:r>
    </w:p>
    <w:p w14:paraId="1F1DD078">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1）合同中已有适用的综合单价，按合同中已有的综合单价确定；</w:t>
      </w:r>
    </w:p>
    <w:p w14:paraId="4C3B5FAA">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2）合同中有类似的综合单价，参照类似的综合单价确定；</w:t>
      </w:r>
    </w:p>
    <w:p w14:paraId="444A2659">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3）合同中没有适用或类似的综合单价，由乙方依据市场价提出综合单价，甲方确认。</w:t>
      </w:r>
    </w:p>
    <w:p w14:paraId="59C1C849">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b/>
          <w:bCs/>
          <w:color w:val="auto"/>
          <w:highlight w:val="none"/>
        </w:rPr>
        <w:t>第五条  建筑材料、设备的供应和采购</w:t>
      </w:r>
    </w:p>
    <w:p w14:paraId="4CBBCB2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一、工程材料、设备由乙方采购。</w:t>
      </w:r>
    </w:p>
    <w:p w14:paraId="469F30E3">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B394364">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三、本项目选用的主要工程材料、设备及重要部位，乙方须报送甲方进行审核，甲方对选用的材料设备有认质和选用的决定权。</w:t>
      </w:r>
    </w:p>
    <w:p w14:paraId="2B44A3E3">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第六条  拟派人员</w:t>
      </w:r>
    </w:p>
    <w:p w14:paraId="0B7C5B39">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本项目拟派</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rPr>
        <w:t>为项目经理，联系电话：</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rPr>
        <w:t>，身份证号：</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rPr>
        <w:t>；</w:t>
      </w:r>
    </w:p>
    <w:p w14:paraId="1F32960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拟派</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rPr>
        <w:t>为技术负责人，联系电话：</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rPr>
        <w:t>，身份证号：</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rPr>
        <w:t>。</w:t>
      </w:r>
    </w:p>
    <w:p w14:paraId="1BB9C319">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第七条  工程质量管理及验收</w:t>
      </w:r>
    </w:p>
    <w:p w14:paraId="79CE4FAB">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一、工程具备隐蔽条件，乙方先进行自检，并在验收前48小时以书面形式通知甲方验收。验收合格，甲方代表在验收记录上签字后，乙方可继续施工。验收不合格，乙方予以整改后再交由甲方重新验收。</w:t>
      </w:r>
    </w:p>
    <w:p w14:paraId="6E257E87">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二、工程具备竣工验收条件，乙方按国家工程竣工验收有关规定，向甲方提供完整竣工资料及竣工验收报告，甲方组织乙方及相关单位完成竣工验收。</w:t>
      </w:r>
    </w:p>
    <w:p w14:paraId="4B3C38DE">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三、符合</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文件和国家及行业规定的建筑工程质量检验评定“合格”标准。</w:t>
      </w:r>
    </w:p>
    <w:p w14:paraId="1C0A0E5E">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第八条  安全施工</w:t>
      </w:r>
    </w:p>
    <w:p w14:paraId="07CEBB5F">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乙方应遵守工程建设安全生产有关管理规定，严格按安全标准组织施工，采取必要的安全防护措施，消除事故隐患。由于乙方安全措施不力造成事故的责任和因此发生的费用，由乙方承担，与甲方无关。</w:t>
      </w:r>
    </w:p>
    <w:p w14:paraId="2350AE4B">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第九条  双方的权利和义务</w:t>
      </w:r>
    </w:p>
    <w:p w14:paraId="0CEE4BF9">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一、甲方的权利与义务</w:t>
      </w:r>
    </w:p>
    <w:p w14:paraId="331C2C61">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1）协助提供施工所需水、电、但具体费用由乙方承担；</w:t>
      </w:r>
    </w:p>
    <w:p w14:paraId="630C610D">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2）协调处理施工现场地下管线的改造，绿化挖移；</w:t>
      </w:r>
    </w:p>
    <w:p w14:paraId="52A06032">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3）协助切断水、电源、为乙方创造必要的施工条件；</w:t>
      </w:r>
      <w:r>
        <w:rPr>
          <w:rFonts w:hint="eastAsia" w:ascii="仿宋_GB2312" w:hAnsi="仿宋_GB2312" w:eastAsia="仿宋_GB2312" w:cs="仿宋_GB2312"/>
          <w:color w:val="auto"/>
          <w:highlight w:val="none"/>
        </w:rPr>
        <w:tab/>
      </w:r>
    </w:p>
    <w:p w14:paraId="2A5CB60C">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4）按安全文明施工的规定，督促乙方落实安全施工、文明施工措施；</w:t>
      </w:r>
    </w:p>
    <w:p w14:paraId="4F0699B7">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5）对</w:t>
      </w:r>
      <w:r>
        <w:rPr>
          <w:rFonts w:hint="eastAsia" w:ascii="仿宋_GB2312" w:hAnsi="仿宋_GB2312" w:eastAsia="仿宋_GB2312" w:cs="仿宋_GB2312"/>
          <w:color w:val="auto"/>
          <w:highlight w:val="none"/>
          <w:lang w:val="en-US" w:eastAsia="zh-CN"/>
        </w:rPr>
        <w:t>征地铲青、</w:t>
      </w:r>
      <w:r>
        <w:rPr>
          <w:rFonts w:hint="eastAsia" w:ascii="仿宋_GB2312" w:hAnsi="仿宋_GB2312" w:eastAsia="仿宋_GB2312" w:cs="仿宋_GB2312"/>
          <w:color w:val="auto"/>
          <w:highlight w:val="none"/>
          <w:lang w:eastAsia="zh-CN"/>
        </w:rPr>
        <w:t>防尘网覆盖、</w:t>
      </w:r>
      <w:r>
        <w:rPr>
          <w:rFonts w:hint="eastAsia" w:ascii="仿宋" w:hAnsi="仿宋" w:eastAsia="仿宋" w:cs="仿宋"/>
          <w:color w:val="auto"/>
          <w:sz w:val="20"/>
          <w:szCs w:val="20"/>
          <w:highlight w:val="none"/>
          <w:lang w:val="en-US" w:eastAsia="zh-CN"/>
        </w:rPr>
        <w:t>地面</w:t>
      </w:r>
      <w:r>
        <w:rPr>
          <w:rFonts w:hint="eastAsia" w:ascii="仿宋_GB2312" w:hAnsi="仿宋_GB2312" w:eastAsia="仿宋_GB2312" w:cs="仿宋_GB2312"/>
          <w:color w:val="auto"/>
          <w:highlight w:val="none"/>
          <w:lang w:eastAsia="zh-CN"/>
        </w:rPr>
        <w:t>破除、</w:t>
      </w:r>
      <w:r>
        <w:rPr>
          <w:rFonts w:hint="eastAsia" w:ascii="仿宋" w:hAnsi="仿宋" w:eastAsia="仿宋" w:cs="仿宋"/>
          <w:color w:val="auto"/>
          <w:sz w:val="20"/>
          <w:szCs w:val="20"/>
          <w:highlight w:val="none"/>
          <w:lang w:val="en-US" w:eastAsia="zh-CN"/>
        </w:rPr>
        <w:t>厂房拆除、围墙圈建</w:t>
      </w:r>
      <w:r>
        <w:rPr>
          <w:rFonts w:hint="eastAsia" w:ascii="仿宋_GB2312" w:hAnsi="仿宋_GB2312" w:eastAsia="仿宋_GB2312" w:cs="仿宋_GB2312"/>
          <w:color w:val="auto"/>
          <w:highlight w:val="none"/>
          <w:lang w:eastAsia="zh-CN"/>
        </w:rPr>
        <w:t>及垃圾清运</w:t>
      </w:r>
      <w:r>
        <w:rPr>
          <w:rFonts w:hint="eastAsia" w:ascii="仿宋_GB2312" w:hAnsi="仿宋_GB2312" w:eastAsia="仿宋_GB2312" w:cs="仿宋_GB2312"/>
          <w:color w:val="auto"/>
          <w:highlight w:val="none"/>
        </w:rPr>
        <w:t>工作提出指导性建议或意见促使施工顺利进行；</w:t>
      </w:r>
    </w:p>
    <w:p w14:paraId="7D014FFC">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6）负责</w:t>
      </w:r>
      <w:r>
        <w:rPr>
          <w:rFonts w:hint="eastAsia" w:ascii="仿宋_GB2312" w:hAnsi="仿宋_GB2312" w:eastAsia="仿宋_GB2312" w:cs="仿宋_GB2312"/>
          <w:color w:val="auto"/>
          <w:highlight w:val="none"/>
          <w:lang w:eastAsia="zh-CN"/>
        </w:rPr>
        <w:t>征地铲青、防尘网覆盖、地面破除、厂房拆除、围墙圈建及垃圾清运</w:t>
      </w:r>
      <w:r>
        <w:rPr>
          <w:rFonts w:hint="eastAsia" w:ascii="仿宋_GB2312" w:hAnsi="仿宋_GB2312" w:eastAsia="仿宋_GB2312" w:cs="仿宋_GB2312"/>
          <w:color w:val="auto"/>
          <w:highlight w:val="none"/>
        </w:rPr>
        <w:t>工作的监督、检查；</w:t>
      </w:r>
    </w:p>
    <w:p w14:paraId="3C1CE30A">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7）负责组织相关力量对本工程工作进行验收；</w:t>
      </w:r>
    </w:p>
    <w:p w14:paraId="134B512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8）做好公安、城管、工商等相关部门的协调工作，保证施工顺利进行；</w:t>
      </w:r>
    </w:p>
    <w:p w14:paraId="375F363C">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9）按约定支付工程款并索取相应的发票；</w:t>
      </w:r>
    </w:p>
    <w:p w14:paraId="6C8604F0">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10）根据工程范围内</w:t>
      </w:r>
      <w:r>
        <w:rPr>
          <w:rFonts w:hint="eastAsia" w:ascii="仿宋_GB2312" w:hAnsi="仿宋_GB2312" w:eastAsia="仿宋_GB2312" w:cs="仿宋_GB2312"/>
          <w:color w:val="auto"/>
          <w:highlight w:val="none"/>
          <w:lang w:eastAsia="zh-CN"/>
        </w:rPr>
        <w:t>防尘网覆盖、破除及垃圾清运</w:t>
      </w:r>
      <w:r>
        <w:rPr>
          <w:rFonts w:hint="eastAsia" w:ascii="仿宋_GB2312" w:hAnsi="仿宋_GB2312" w:eastAsia="仿宋_GB2312" w:cs="仿宋_GB2312"/>
          <w:color w:val="auto"/>
          <w:highlight w:val="none"/>
        </w:rPr>
        <w:t>工作的具体要求，安排乙方完成与上述工作有关的临时性任务。</w:t>
      </w:r>
    </w:p>
    <w:p w14:paraId="28D5F41A">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二、乙方的权利与义务</w:t>
      </w:r>
    </w:p>
    <w:p w14:paraId="43EF48F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1）乙方应设置</w:t>
      </w:r>
      <w:r>
        <w:rPr>
          <w:rFonts w:hint="eastAsia" w:ascii="仿宋_GB2312" w:hAnsi="仿宋_GB2312" w:eastAsia="仿宋_GB2312" w:cs="仿宋_GB2312"/>
          <w:color w:val="auto"/>
          <w:highlight w:val="none"/>
          <w:lang w:val="en-US" w:eastAsia="zh-CN"/>
        </w:rPr>
        <w:t>征地铲青、防尘网覆盖、地面破除、厂房拆除、围墙圈建及垃圾清运</w:t>
      </w:r>
      <w:r>
        <w:rPr>
          <w:rFonts w:hint="eastAsia" w:ascii="仿宋_GB2312" w:hAnsi="仿宋_GB2312" w:eastAsia="仿宋_GB2312" w:cs="仿宋_GB2312"/>
          <w:color w:val="auto"/>
          <w:highlight w:val="none"/>
          <w:lang w:eastAsia="zh-CN"/>
        </w:rPr>
        <w:t>工程</w:t>
      </w:r>
      <w:r>
        <w:rPr>
          <w:rFonts w:hint="eastAsia" w:ascii="仿宋_GB2312" w:hAnsi="仿宋_GB2312" w:eastAsia="仿宋_GB2312" w:cs="仿宋_GB2312"/>
          <w:color w:val="auto"/>
          <w:highlight w:val="none"/>
        </w:rPr>
        <w:t>及负责设立项目实施过程中必要的办公场所，并保证所有参与上述工作的人员必须统一着装，配挂“工作人员”胸牌;</w:t>
      </w:r>
    </w:p>
    <w:p w14:paraId="05030F8F">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2）每日向甲方提供进度计划，统计报表和工程事故报告，遵守有关部门对施工场地、交通、噪音等的管理规定;</w:t>
      </w:r>
    </w:p>
    <w:p w14:paraId="7EC6176C">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3）保证施工现场清洁，负责人行道路维护工作;</w:t>
      </w:r>
    </w:p>
    <w:p w14:paraId="5CA2842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4）按照国家及省市相关破除、垃圾清运政策、法规及甲方确认的施工组织设计或施工方案进行文明施工、文明清运；</w:t>
      </w:r>
    </w:p>
    <w:p w14:paraId="17A5D6B9">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5）遵守安全防护和文明施工的规定，建立健全安全防护和文明施工的制度，设专职安全员，负责维护施工现场安全，做到安全文明施工等;</w:t>
      </w:r>
    </w:p>
    <w:p w14:paraId="54116D17">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6）完善安全防护和文明施工条件，施工机械、设备须附检验报告,严格按照安全防护和文明施工的规定组织施工，采取必要的安全防护措施，消除安全事故隐患;</w:t>
      </w:r>
    </w:p>
    <w:p w14:paraId="402FCEBE">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6BACB0FA">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8）按约定收取工程款并出具相应的发票;</w:t>
      </w:r>
    </w:p>
    <w:p w14:paraId="3821938A">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9）工作人员应服从甲方的领导、监督和管理，遵守工作制度和纪律，依法完成工作内容;</w:t>
      </w:r>
    </w:p>
    <w:p w14:paraId="5F62072D">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10）项目实施中发生的各种不安全事故或人员伤亡和各类纠纷等问题，造成的责任、费用等由乙方承担;</w:t>
      </w:r>
    </w:p>
    <w:p w14:paraId="5F5FC7EA">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11）指派专职项目经理负责联系和处理工作的有关事项，参加协调会，协调合同执行过程中遇到的问题，并配备专职安全员每日巡视现场，安全员必须持证上岗;</w:t>
      </w:r>
    </w:p>
    <w:p w14:paraId="73864BC6">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12）乙方应严格执行市建尘治发【2017】3号文，西安市建设工地扬尘污染防治专项工作组关于印发西安市建设工地和两类企业扬尘污染防治措施的通知，扬尘污染防治应达到文件要求的达到6个百分百，7个到位。如不能达到相关标准则甲方结算时将对相应的相关费用予以扣除。</w:t>
      </w:r>
    </w:p>
    <w:p w14:paraId="277E97B2">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13）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w:t>
      </w:r>
    </w:p>
    <w:p w14:paraId="3AECCBBD">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14）及时向甲方以书面形式汇报破除及垃圾清运进度、工程量及安全情况;</w:t>
      </w:r>
    </w:p>
    <w:p w14:paraId="48400E7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15）完成甲方交办的与工程范围内有关的其它临时性工作。</w:t>
      </w:r>
    </w:p>
    <w:p w14:paraId="070E16EE">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第十条  违约责任</w:t>
      </w:r>
    </w:p>
    <w:p w14:paraId="324E6412">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乙方未能按时竣工的，每延期一日应按结算总价款的3‰／天向甲方支付违约金（甲方有权从未支付款项中扣除）；无故延期15日以上视为根本性违约，甲方有权解除本合同，乙方除应全额退还甲方已支付的工程款外，还应向甲方支付违约金。</w:t>
      </w:r>
    </w:p>
    <w:p w14:paraId="1D618AA8">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2、工程出现质量问题或造成不良影响视为乙方严重违约，视情节轻重乙方应按工程款的10%-30%向甲方支付违约金（甲方有权从未支付款项中扣除），此外应赔偿因此给甲方造成的损失。</w:t>
      </w:r>
    </w:p>
    <w:p w14:paraId="510B138B">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3、乙方擅自解除或终止本合同的，乙方应按合同暂定总价的20%向甲方支付违约金。</w:t>
      </w:r>
    </w:p>
    <w:p w14:paraId="03DECD0C">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第十一条  争议解决</w:t>
      </w:r>
    </w:p>
    <w:p w14:paraId="0CC0576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双方本着友好合作的态度,对合同履行过程中发生的</w:t>
      </w: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"http://set2.mail.qq.com/cgi-bin/mail_spam?action=check_link&amp;spam=0&amp;url=http%3A%2F%2Fbaike%2Ebaidu%2Ecom%2Fview%2F322875%2Ehtm" </w:instrText>
      </w:r>
      <w:r>
        <w:rPr>
          <w:rFonts w:hint="eastAsia" w:ascii="仿宋_GB2312" w:hAnsi="仿宋_GB2312" w:eastAsia="仿宋_GB2312" w:cs="仿宋_GB2312"/>
          <w:color w:val="auto"/>
          <w:highlight w:val="none"/>
        </w:rPr>
        <w:fldChar w:fldCharType="separate"/>
      </w:r>
      <w:r>
        <w:rPr>
          <w:rFonts w:hint="eastAsia" w:ascii="仿宋_GB2312" w:hAnsi="仿宋_GB2312" w:eastAsia="仿宋_GB2312" w:cs="仿宋_GB2312"/>
          <w:color w:val="auto"/>
          <w:highlight w:val="none"/>
        </w:rPr>
        <w:t>纠纷</w:t>
      </w:r>
      <w:r>
        <w:rPr>
          <w:rFonts w:hint="eastAsia" w:ascii="仿宋_GB2312" w:hAnsi="仿宋_GB2312" w:eastAsia="仿宋_GB2312" w:cs="仿宋_GB2312"/>
          <w:color w:val="auto"/>
          <w:highlight w:val="none"/>
        </w:rPr>
        <w:fldChar w:fldCharType="end"/>
      </w:r>
      <w:r>
        <w:rPr>
          <w:rFonts w:hint="eastAsia" w:ascii="仿宋_GB2312" w:hAnsi="仿宋_GB2312" w:eastAsia="仿宋_GB2312" w:cs="仿宋_GB2312"/>
          <w:color w:val="auto"/>
          <w:highlight w:val="none"/>
        </w:rPr>
        <w:t>应及时协商解决,协商不成，向甲方所在地人民法院诉讼解决。</w:t>
      </w:r>
    </w:p>
    <w:p w14:paraId="156FD5DE">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b/>
          <w:bCs/>
          <w:color w:val="auto"/>
          <w:highlight w:val="none"/>
        </w:rPr>
        <w:t xml:space="preserve">第十二条  </w:t>
      </w:r>
      <w:r>
        <w:rPr>
          <w:rFonts w:hint="eastAsia" w:ascii="仿宋_GB2312" w:hAnsi="仿宋_GB2312" w:eastAsia="仿宋_GB2312" w:cs="仿宋_GB2312"/>
          <w:b/>
          <w:bCs/>
          <w:color w:val="auto"/>
          <w:highlight w:val="none"/>
        </w:rPr>
        <w:fldChar w:fldCharType="begin"/>
      </w:r>
      <w:r>
        <w:rPr>
          <w:rFonts w:hint="eastAsia" w:ascii="仿宋_GB2312" w:hAnsi="仿宋_GB2312" w:eastAsia="仿宋_GB2312" w:cs="仿宋_GB2312"/>
          <w:b/>
          <w:bCs/>
          <w:color w:val="auto"/>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_GB2312" w:hAnsi="仿宋_GB2312" w:eastAsia="仿宋_GB2312" w:cs="仿宋_GB2312"/>
          <w:b/>
          <w:bCs/>
          <w:color w:val="auto"/>
          <w:highlight w:val="none"/>
        </w:rPr>
        <w:fldChar w:fldCharType="separate"/>
      </w:r>
      <w:r>
        <w:rPr>
          <w:rFonts w:hint="eastAsia" w:ascii="仿宋_GB2312" w:hAnsi="仿宋_GB2312" w:eastAsia="仿宋_GB2312" w:cs="仿宋_GB2312"/>
          <w:b/>
          <w:bCs/>
          <w:color w:val="auto"/>
          <w:highlight w:val="none"/>
        </w:rPr>
        <w:t>不可抗力</w:t>
      </w:r>
      <w:r>
        <w:rPr>
          <w:rFonts w:hint="eastAsia" w:ascii="仿宋_GB2312" w:hAnsi="仿宋_GB2312" w:eastAsia="仿宋_GB2312" w:cs="仿宋_GB2312"/>
          <w:b/>
          <w:bCs/>
          <w:color w:val="auto"/>
          <w:highlight w:val="none"/>
        </w:rPr>
        <w:fldChar w:fldCharType="end"/>
      </w:r>
    </w:p>
    <w:p w14:paraId="14535D35">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甲乙双方任何一方由于</w:t>
      </w: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_GB2312" w:hAnsi="仿宋_GB2312" w:eastAsia="仿宋_GB2312" w:cs="仿宋_GB2312"/>
          <w:color w:val="auto"/>
          <w:highlight w:val="none"/>
        </w:rPr>
        <w:fldChar w:fldCharType="separate"/>
      </w:r>
      <w:r>
        <w:rPr>
          <w:rFonts w:hint="eastAsia" w:ascii="仿宋_GB2312" w:hAnsi="仿宋_GB2312" w:eastAsia="仿宋_GB2312" w:cs="仿宋_GB2312"/>
          <w:color w:val="auto"/>
          <w:highlight w:val="none"/>
        </w:rPr>
        <w:t>不可抗力</w:t>
      </w:r>
      <w:r>
        <w:rPr>
          <w:rFonts w:hint="eastAsia" w:ascii="仿宋_GB2312" w:hAnsi="仿宋_GB2312" w:eastAsia="仿宋_GB2312" w:cs="仿宋_GB2312"/>
          <w:color w:val="auto"/>
          <w:highlight w:val="none"/>
        </w:rPr>
        <w:fldChar w:fldCharType="end"/>
      </w:r>
      <w:r>
        <w:rPr>
          <w:rFonts w:hint="eastAsia" w:ascii="仿宋_GB2312" w:hAnsi="仿宋_GB2312" w:eastAsia="仿宋_GB2312" w:cs="仿宋_GB2312"/>
          <w:color w:val="auto"/>
          <w:highlight w:val="none"/>
        </w:rPr>
        <w:t>原因不能履行合同时，应及时向对</w:t>
      </w: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_GB2312" w:hAnsi="仿宋_GB2312" w:eastAsia="仿宋_GB2312" w:cs="仿宋_GB2312"/>
          <w:color w:val="auto"/>
          <w:highlight w:val="none"/>
        </w:rPr>
        <w:fldChar w:fldCharType="separate"/>
      </w:r>
      <w:r>
        <w:rPr>
          <w:rFonts w:hint="eastAsia" w:ascii="仿宋_GB2312" w:hAnsi="仿宋_GB2312" w:eastAsia="仿宋_GB2312" w:cs="仿宋_GB2312"/>
          <w:color w:val="auto"/>
          <w:highlight w:val="none"/>
        </w:rPr>
        <w:t>方通</w:t>
      </w:r>
      <w:r>
        <w:rPr>
          <w:rFonts w:hint="eastAsia" w:ascii="仿宋_GB2312" w:hAnsi="仿宋_GB2312" w:eastAsia="仿宋_GB2312" w:cs="仿宋_GB2312"/>
          <w:color w:val="auto"/>
          <w:highlight w:val="none"/>
        </w:rPr>
        <w:fldChar w:fldCharType="end"/>
      </w:r>
      <w:r>
        <w:rPr>
          <w:rFonts w:hint="eastAsia" w:ascii="仿宋_GB2312" w:hAnsi="仿宋_GB2312" w:eastAsia="仿宋_GB2312" w:cs="仿宋_GB2312"/>
          <w:color w:val="auto"/>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_GB2312" w:hAnsi="仿宋_GB2312" w:eastAsia="仿宋_GB2312" w:cs="仿宋_GB2312"/>
          <w:color w:val="auto"/>
          <w:highlight w:val="none"/>
        </w:rPr>
        <w:fldChar w:fldCharType="separate"/>
      </w:r>
      <w:r>
        <w:rPr>
          <w:rFonts w:hint="eastAsia" w:ascii="仿宋_GB2312" w:hAnsi="仿宋_GB2312" w:eastAsia="仿宋_GB2312" w:cs="仿宋_GB2312"/>
          <w:color w:val="auto"/>
          <w:highlight w:val="none"/>
        </w:rPr>
        <w:t>违约责任</w:t>
      </w:r>
      <w:r>
        <w:rPr>
          <w:rFonts w:hint="eastAsia" w:ascii="仿宋_GB2312" w:hAnsi="仿宋_GB2312" w:eastAsia="仿宋_GB2312" w:cs="仿宋_GB2312"/>
          <w:color w:val="auto"/>
          <w:highlight w:val="none"/>
        </w:rPr>
        <w:fldChar w:fldCharType="end"/>
      </w:r>
      <w:r>
        <w:rPr>
          <w:rFonts w:hint="eastAsia" w:ascii="仿宋_GB2312" w:hAnsi="仿宋_GB2312" w:eastAsia="仿宋_GB2312" w:cs="仿宋_GB2312"/>
          <w:color w:val="auto"/>
          <w:highlight w:val="none"/>
        </w:rPr>
        <w:t>。</w:t>
      </w:r>
    </w:p>
    <w:p w14:paraId="17E76855">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第十三条　监督和管理</w:t>
      </w:r>
    </w:p>
    <w:p w14:paraId="6667229C">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5CCB88E3">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2、甲乙双方均应自觉配合有关监督管理部门对合同履行情况的监督检查，如实反映情况，提供有关资料；否则，将对有关单位、当事人按照有关规定予以处罚。</w:t>
      </w:r>
    </w:p>
    <w:p w14:paraId="5F56CF53">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b/>
          <w:bCs/>
          <w:color w:val="auto"/>
          <w:highlight w:val="none"/>
        </w:rPr>
        <w:t xml:space="preserve">第十四条  </w:t>
      </w:r>
      <w:r>
        <w:rPr>
          <w:rFonts w:hint="eastAsia" w:ascii="仿宋_GB2312" w:hAnsi="仿宋_GB2312" w:eastAsia="仿宋_GB2312" w:cs="仿宋_GB2312"/>
          <w:b/>
          <w:bCs/>
          <w:color w:val="auto"/>
          <w:highlight w:val="none"/>
        </w:rPr>
        <w:fldChar w:fldCharType="begin"/>
      </w:r>
      <w:r>
        <w:rPr>
          <w:rFonts w:hint="eastAsia" w:ascii="仿宋_GB2312" w:hAnsi="仿宋_GB2312" w:eastAsia="仿宋_GB2312" w:cs="仿宋_GB2312"/>
          <w:b/>
          <w:bCs/>
          <w:color w:val="auto"/>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_GB2312" w:hAnsi="仿宋_GB2312" w:eastAsia="仿宋_GB2312" w:cs="仿宋_GB2312"/>
          <w:b/>
          <w:bCs/>
          <w:color w:val="auto"/>
          <w:highlight w:val="none"/>
        </w:rPr>
        <w:fldChar w:fldCharType="separate"/>
      </w:r>
      <w:r>
        <w:rPr>
          <w:rFonts w:hint="eastAsia" w:ascii="仿宋_GB2312" w:hAnsi="仿宋_GB2312" w:eastAsia="仿宋_GB2312" w:cs="仿宋_GB2312"/>
          <w:b/>
          <w:bCs/>
          <w:color w:val="auto"/>
          <w:highlight w:val="none"/>
        </w:rPr>
        <w:t>无效合同</w:t>
      </w:r>
      <w:r>
        <w:rPr>
          <w:rFonts w:hint="eastAsia" w:ascii="仿宋_GB2312" w:hAnsi="仿宋_GB2312" w:eastAsia="仿宋_GB2312" w:cs="仿宋_GB2312"/>
          <w:b/>
          <w:bCs/>
          <w:color w:val="auto"/>
          <w:highlight w:val="none"/>
        </w:rPr>
        <w:fldChar w:fldCharType="end"/>
      </w:r>
    </w:p>
    <w:p w14:paraId="524055AE">
      <w:pPr>
        <w:pStyle w:val="21"/>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甲乙双方如因违反政府采购法及相关法律法规的规定，被宣告</w:t>
      </w:r>
      <w:r>
        <w:rPr>
          <w:rFonts w:hint="eastAsia" w:ascii="仿宋_GB2312" w:hAnsi="仿宋_GB2312" w:eastAsia="仿宋_GB2312" w:cs="仿宋_GB2312"/>
          <w:color w:val="auto"/>
          <w:highlight w:val="none"/>
        </w:rPr>
        <w:fldChar w:fldCharType="begin"/>
      </w:r>
      <w:r>
        <w:rPr>
          <w:rFonts w:hint="eastAsia" w:ascii="仿宋_GB2312" w:hAnsi="仿宋_GB2312" w:eastAsia="仿宋_GB2312" w:cs="仿宋_GB2312"/>
          <w:color w:val="auto"/>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_GB2312" w:hAnsi="仿宋_GB2312" w:eastAsia="仿宋_GB2312" w:cs="仿宋_GB2312"/>
          <w:color w:val="auto"/>
          <w:highlight w:val="none"/>
        </w:rPr>
        <w:fldChar w:fldCharType="separate"/>
      </w:r>
      <w:r>
        <w:rPr>
          <w:rFonts w:hint="eastAsia" w:ascii="仿宋_GB2312" w:hAnsi="仿宋_GB2312" w:eastAsia="仿宋_GB2312" w:cs="仿宋_GB2312"/>
          <w:color w:val="auto"/>
          <w:highlight w:val="none"/>
        </w:rPr>
        <w:t>合同无效</w:t>
      </w:r>
      <w:r>
        <w:rPr>
          <w:rFonts w:hint="eastAsia" w:ascii="仿宋_GB2312" w:hAnsi="仿宋_GB2312" w:eastAsia="仿宋_GB2312" w:cs="仿宋_GB2312"/>
          <w:color w:val="auto"/>
          <w:highlight w:val="none"/>
        </w:rPr>
        <w:fldChar w:fldCharType="end"/>
      </w:r>
      <w:r>
        <w:rPr>
          <w:rFonts w:hint="eastAsia" w:ascii="仿宋_GB2312" w:hAnsi="仿宋_GB2312" w:eastAsia="仿宋_GB2312" w:cs="仿宋_GB2312"/>
          <w:color w:val="auto"/>
          <w:highlight w:val="none"/>
        </w:rPr>
        <w:t>的，一切责任概由过错方自行承担。</w:t>
      </w:r>
    </w:p>
    <w:p w14:paraId="146B7A7B">
      <w:pPr>
        <w:pStyle w:val="21"/>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第十五条  信用融资（如有）</w:t>
      </w:r>
    </w:p>
    <w:p w14:paraId="14A06D7E">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银行名称：           ，收款账号</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rPr>
        <w:t xml:space="preserve">   。</w:t>
      </w:r>
    </w:p>
    <w:p w14:paraId="174DE804">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b/>
          <w:bCs/>
          <w:color w:val="auto"/>
          <w:highlight w:val="none"/>
        </w:rPr>
        <w:t>第十六条  附  则</w:t>
      </w:r>
    </w:p>
    <w:p w14:paraId="10D1A74A">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一、甲方代表为___________，乙方代表为___________。</w:t>
      </w:r>
    </w:p>
    <w:p w14:paraId="35ACEB83">
      <w:pPr>
        <w:pStyle w:val="21"/>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二、本合同一式陆份,甲乙双方各执______份,政府采购监督管理机构______份</w:t>
      </w:r>
      <w:r>
        <w:rPr>
          <w:rFonts w:hint="eastAsia" w:ascii="仿宋_GB2312" w:hAnsi="仿宋_GB2312" w:eastAsia="仿宋_GB2312" w:cs="仿宋_GB2312"/>
          <w:color w:val="auto"/>
          <w:highlight w:val="none"/>
          <w:lang w:eastAsia="zh-CN"/>
        </w:rPr>
        <w:t>。</w:t>
      </w:r>
    </w:p>
    <w:p w14:paraId="747F6627">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采购人：____________________（公章）供应商：____________（公章）</w:t>
      </w:r>
    </w:p>
    <w:p w14:paraId="0E369F89">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地  址：                           地  址：____________________</w:t>
      </w:r>
    </w:p>
    <w:p w14:paraId="54152FA5">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邮政编码：                         邮政编码：__________________</w:t>
      </w:r>
    </w:p>
    <w:p w14:paraId="50D31798">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法定代表人：                       法定代表人：________________</w:t>
      </w:r>
    </w:p>
    <w:p w14:paraId="27B7138C">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委托代理人：                       委托代理人：________________</w:t>
      </w:r>
    </w:p>
    <w:p w14:paraId="69105569">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电    话：                         电    话：__________________</w:t>
      </w:r>
    </w:p>
    <w:p w14:paraId="2C58E93B">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传    真：                         传    真：__________________</w:t>
      </w:r>
    </w:p>
    <w:p w14:paraId="4AB9F8DB">
      <w:pPr>
        <w:pStyle w:val="21"/>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开户银行：                         开户银行：__________________</w:t>
      </w:r>
    </w:p>
    <w:p w14:paraId="4B72DD09">
      <w:pPr>
        <w:pStyle w:val="21"/>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rPr>
        <w:t>帐    号：                         帐    号：__________________</w:t>
      </w:r>
    </w:p>
    <w:p w14:paraId="57E9C875">
      <w:r>
        <w:rPr>
          <w:rFonts w:ascii="仿宋_GB2312" w:hAnsi="仿宋_GB2312" w:eastAsia="仿宋_GB2312" w:cs="仿宋_GB2312"/>
          <w:color w:val="auto"/>
          <w:highlight w:val="none"/>
        </w:rPr>
        <w:br w:type="textWrapping"/>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DA1E"/>
    <w:multiLevelType w:val="multilevel"/>
    <w:tmpl w:val="2DDEDA1E"/>
    <w:lvl w:ilvl="0" w:tentative="0">
      <w:start w:val="1"/>
      <w:numFmt w:val="decimal"/>
      <w:pStyle w:val="2"/>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3"/>
      <w:suff w:val="space"/>
      <w:lvlText w:val="%1.%2"/>
      <w:lvlJc w:val="left"/>
      <w:pPr>
        <w:ind w:left="0" w:firstLine="0"/>
      </w:pPr>
      <w:rPr>
        <w:rFonts w:hint="default" w:ascii="Arial" w:hAnsi="Arial" w:cs="Arial"/>
        <w:b/>
        <w:sz w:val="36"/>
        <w:szCs w:val="36"/>
        <w:lang w:eastAsia="zh-CN"/>
      </w:rPr>
    </w:lvl>
    <w:lvl w:ilvl="2" w:tentative="0">
      <w:start w:val="1"/>
      <w:numFmt w:val="decimal"/>
      <w:pStyle w:val="4"/>
      <w:suff w:val="space"/>
      <w:lvlText w:val="%1.%2.%3"/>
      <w:lvlJc w:val="left"/>
      <w:pPr>
        <w:ind w:left="3261" w:firstLine="0"/>
      </w:pPr>
      <w:rPr>
        <w:rFonts w:hint="default" w:ascii="Arial" w:hAnsi="Arial" w:cs="Arial"/>
        <w:sz w:val="30"/>
        <w:szCs w:val="30"/>
      </w:rPr>
    </w:lvl>
    <w:lvl w:ilvl="3" w:tentative="0">
      <w:start w:val="1"/>
      <w:numFmt w:val="decimal"/>
      <w:pStyle w:val="5"/>
      <w:suff w:val="space"/>
      <w:lvlText w:val="%1.%2.%3.%4"/>
      <w:lvlJc w:val="left"/>
      <w:pPr>
        <w:ind w:left="1418" w:firstLine="0"/>
      </w:pPr>
      <w:rPr>
        <w:rFonts w:hint="default" w:ascii="Arial" w:hAnsi="Arial" w:cs="Arial"/>
        <w:sz w:val="28"/>
        <w:szCs w:val="28"/>
        <w:lang w:val="zh-CN"/>
      </w:rPr>
    </w:lvl>
    <w:lvl w:ilvl="4" w:tentative="0">
      <w:start w:val="1"/>
      <w:numFmt w:val="decimal"/>
      <w:pStyle w:val="6"/>
      <w:suff w:val="space"/>
      <w:lvlText w:val="（%5）"/>
      <w:lvlJc w:val="left"/>
      <w:pPr>
        <w:ind w:left="-137" w:firstLine="420"/>
      </w:pPr>
      <w:rPr>
        <w:rFonts w:hint="default" w:ascii="Arial" w:hAnsi="Arial" w:cs="Arial"/>
        <w:b w:val="0"/>
        <w:sz w:val="24"/>
      </w:rPr>
    </w:lvl>
    <w:lvl w:ilvl="5" w:tentative="0">
      <w:start w:val="1"/>
      <w:numFmt w:val="decimal"/>
      <w:pStyle w:val="7"/>
      <w:suff w:val="space"/>
      <w:lvlText w:val="%6）"/>
      <w:lvlJc w:val="left"/>
      <w:pPr>
        <w:ind w:left="0" w:firstLine="601"/>
      </w:pPr>
      <w:rPr>
        <w:rFonts w:hint="default" w:ascii="Arial" w:hAnsi="Arial" w:cs="Arial"/>
        <w:sz w:val="24"/>
        <w:szCs w:val="10351"/>
      </w:rPr>
    </w:lvl>
    <w:lvl w:ilvl="6" w:tentative="0">
      <w:start w:val="1"/>
      <w:numFmt w:val="upperLetter"/>
      <w:pStyle w:val="8"/>
      <w:suff w:val="space"/>
      <w:lvlText w:val="%7."/>
      <w:lvlJc w:val="left"/>
      <w:pPr>
        <w:ind w:left="0" w:firstLine="601"/>
      </w:pPr>
      <w:rPr>
        <w:rFonts w:hint="default" w:ascii="Arial" w:hAnsi="Arial" w:cs="Arial"/>
        <w:sz w:val="24"/>
      </w:rPr>
    </w:lvl>
    <w:lvl w:ilvl="7" w:tentative="0">
      <w:start w:val="1"/>
      <w:numFmt w:val="lowerLetter"/>
      <w:pStyle w:val="9"/>
      <w:suff w:val="space"/>
      <w:lvlText w:val="%8."/>
      <w:lvlJc w:val="left"/>
      <w:pPr>
        <w:ind w:left="0" w:firstLine="601"/>
      </w:pPr>
      <w:rPr>
        <w:rFonts w:hint="default" w:ascii="Arial" w:hAnsi="Arial" w:cs="Arial"/>
        <w:sz w:val="24"/>
        <w:szCs w:val="24"/>
      </w:rPr>
    </w:lvl>
    <w:lvl w:ilvl="8" w:tentative="0">
      <w:start w:val="1"/>
      <w:numFmt w:val="lowerLetter"/>
      <w:pStyle w:val="10"/>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abstractNum w:abstractNumId="1">
    <w:nsid w:val="50D5D814"/>
    <w:multiLevelType w:val="singleLevel"/>
    <w:tmpl w:val="50D5D81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D03F2"/>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32D03F2"/>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81AC6"/>
    <w:rsid w:val="38B24394"/>
    <w:rsid w:val="3A41145C"/>
    <w:rsid w:val="3A6841DD"/>
    <w:rsid w:val="3B502494"/>
    <w:rsid w:val="411260D2"/>
    <w:rsid w:val="41A235DB"/>
    <w:rsid w:val="425256AA"/>
    <w:rsid w:val="428C475C"/>
    <w:rsid w:val="43A15B81"/>
    <w:rsid w:val="43C76A6E"/>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7"/>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1"/>
    <w:link w:val="16"/>
    <w:semiHidden/>
    <w:unhideWhenUsed/>
    <w:qFormat/>
    <w:uiPriority w:val="0"/>
    <w:pPr>
      <w:numPr>
        <w:ilvl w:val="1"/>
        <w:numId w:val="1"/>
      </w:numPr>
      <w:spacing w:before="240" w:after="120" w:line="360" w:lineRule="auto"/>
      <w:jc w:val="center"/>
      <w:outlineLvl w:val="1"/>
    </w:pPr>
    <w:rPr>
      <w:b/>
      <w:bCs/>
      <w:sz w:val="32"/>
      <w:szCs w:val="28"/>
    </w:rPr>
  </w:style>
  <w:style w:type="paragraph" w:styleId="4">
    <w:name w:val="heading 3"/>
    <w:basedOn w:val="1"/>
    <w:next w:val="1"/>
    <w:link w:val="18"/>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5">
    <w:name w:val="heading 4"/>
    <w:basedOn w:val="1"/>
    <w:next w:val="1"/>
    <w:link w:val="19"/>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6">
    <w:name w:val="heading 5"/>
    <w:basedOn w:val="1"/>
    <w:next w:val="1"/>
    <w:link w:val="20"/>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5">
    <w:name w:val="Default Paragraph Font"/>
    <w:unhideWhenUsed/>
    <w:qFormat/>
    <w:uiPriority w:val="1"/>
  </w:style>
  <w:style w:type="table" w:default="1" w:styleId="14">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basedOn w:val="1"/>
    <w:qFormat/>
    <w:uiPriority w:val="0"/>
    <w:pPr>
      <w:spacing w:after="120" w:afterLines="0" w:afterAutospacing="0"/>
    </w:pPr>
  </w:style>
  <w:style w:type="paragraph" w:styleId="13">
    <w:name w:val="Body Text First Indent"/>
    <w:basedOn w:val="12"/>
    <w:qFormat/>
    <w:uiPriority w:val="0"/>
    <w:pPr>
      <w:ind w:firstLine="420" w:firstLineChars="100"/>
    </w:pPr>
  </w:style>
  <w:style w:type="character" w:customStyle="1" w:styleId="16">
    <w:name w:val="Heading 2 Char"/>
    <w:basedOn w:val="15"/>
    <w:link w:val="3"/>
    <w:qFormat/>
    <w:locked/>
    <w:uiPriority w:val="99"/>
    <w:rPr>
      <w:rFonts w:ascii="Times New Roman" w:hAnsi="Times New Roman" w:eastAsia="仿宋" w:cs="Times New Roman"/>
      <w:b/>
      <w:sz w:val="28"/>
    </w:rPr>
  </w:style>
  <w:style w:type="character" w:customStyle="1" w:styleId="17">
    <w:name w:val="Heading 1 Char"/>
    <w:basedOn w:val="15"/>
    <w:link w:val="2"/>
    <w:qFormat/>
    <w:locked/>
    <w:uiPriority w:val="99"/>
    <w:rPr>
      <w:rFonts w:ascii="Times New Roman" w:hAnsi="Times New Roman" w:eastAsia="仿宋" w:cs="Times New Roman"/>
      <w:b/>
      <w:kern w:val="44"/>
      <w:sz w:val="36"/>
    </w:rPr>
  </w:style>
  <w:style w:type="character" w:customStyle="1" w:styleId="18">
    <w:name w:val="标题 3 Char1"/>
    <w:link w:val="4"/>
    <w:qFormat/>
    <w:uiPriority w:val="0"/>
    <w:rPr>
      <w:rFonts w:ascii="Times New Roman" w:hAnsi="Times New Roman" w:eastAsia="仿宋" w:cs="Times New Roman"/>
      <w:b/>
      <w:bCs/>
      <w:kern w:val="2"/>
      <w:sz w:val="24"/>
      <w:szCs w:val="28"/>
      <w:lang w:val="en-US" w:eastAsia="zh-CN" w:bidi="ar-SA"/>
    </w:rPr>
  </w:style>
  <w:style w:type="character" w:customStyle="1" w:styleId="19">
    <w:name w:val="标题 4 Char1"/>
    <w:link w:val="5"/>
    <w:qFormat/>
    <w:uiPriority w:val="0"/>
    <w:rPr>
      <w:rFonts w:ascii="Times New Roman" w:hAnsi="Times New Roman" w:eastAsia="仿宋" w:cs="Times New Roman"/>
      <w:b/>
      <w:bCs/>
      <w:kern w:val="2"/>
      <w:sz w:val="24"/>
      <w:szCs w:val="28"/>
      <w:lang w:val="en-US" w:eastAsia="zh-CN" w:bidi="ar-SA"/>
    </w:rPr>
  </w:style>
  <w:style w:type="character" w:customStyle="1" w:styleId="20">
    <w:name w:val="标题 5 Char"/>
    <w:basedOn w:val="15"/>
    <w:link w:val="6"/>
    <w:qFormat/>
    <w:uiPriority w:val="0"/>
    <w:rPr>
      <w:rFonts w:eastAsia="宋体" w:cs="宋体" w:asciiTheme="minorAscii" w:hAnsiTheme="minorAscii"/>
      <w:b/>
      <w:bCs/>
      <w:kern w:val="2"/>
      <w:sz w:val="24"/>
      <w:szCs w:val="28"/>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2025-07-10T08:32:00Z</dcterms:created>
  <dc:creator>淡定</dc:creator>
  <cp:lastModifiedBy>淡定</cp:lastModifiedBy>
  <dcterms:modified xsi:type="dcterms:W3CDTF">2025-07-10T08:33:35Z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1E4F26F0A9B440D9A8B064A62377EBE8_11</vt:lpwstr>
  </property>
  <property fmtid="{D5CDD505-2E9C-101B-9397-08002B2CF9AE}" pid="4" name="KSOTemplateDocerSaveRecord">
    <vt:lpwstr>eyJoZGlkIjoiYjZjMDVmNTg2MDFmY2Q2MDJiMzk5OGVkZjk4ZTE2M2YiLCJ1c2VySWQiOiIyMjAxMDg4MTYifQ==</vt:lpwstr>
  </property>
</Properties>
</file>