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7D5C0">
      <w:pPr>
        <w:pStyle w:val="21"/>
        <w:jc w:val="center"/>
        <w:rPr>
          <w:rFonts w:hint="eastAsia" w:ascii="仿宋_GB2312" w:hAnsi="仿宋_GB2312" w:eastAsia="仿宋_GB2312" w:cs="仿宋_GB2312"/>
          <w:color w:val="auto"/>
          <w:highlight w:val="none"/>
          <w:lang w:val="en-US" w:eastAsia="zh-Hans"/>
        </w:rPr>
      </w:pPr>
      <w:bookmarkStart w:id="0" w:name="_Toc23875"/>
      <w:bookmarkStart w:id="1" w:name="_Toc5446"/>
      <w:r>
        <w:rPr>
          <w:rFonts w:hint="eastAsia" w:ascii="仿宋_GB2312" w:hAnsi="仿宋_GB2312" w:eastAsia="仿宋_GB2312" w:cs="仿宋_GB2312"/>
          <w:color w:val="auto"/>
          <w:highlight w:val="none"/>
          <w:lang w:val="en-US" w:eastAsia="zh-Hans"/>
        </w:rPr>
        <w:t>首次磋商报价表</w:t>
      </w:r>
      <w:bookmarkEnd w:id="0"/>
      <w:bookmarkEnd w:id="1"/>
    </w:p>
    <w:p w14:paraId="0730E5DA">
      <w:pPr>
        <w:pStyle w:val="21"/>
        <w:rPr>
          <w:rFonts w:hint="eastAsia" w:ascii="仿宋_GB2312" w:hAnsi="仿宋_GB2312" w:eastAsia="仿宋_GB2312" w:cs="仿宋_GB2312"/>
          <w:color w:val="auto"/>
          <w:highlight w:val="none"/>
          <w:lang w:val="en-US" w:eastAsia="zh-Hans"/>
        </w:rPr>
      </w:pPr>
    </w:p>
    <w:p w14:paraId="2585EAF8">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 xml:space="preserve">项目名称：             项目编号： </w:t>
      </w:r>
    </w:p>
    <w:tbl>
      <w:tblPr>
        <w:tblStyle w:val="1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1995"/>
        <w:gridCol w:w="1460"/>
        <w:gridCol w:w="1677"/>
        <w:gridCol w:w="1663"/>
        <w:gridCol w:w="748"/>
      </w:tblGrid>
      <w:tr w14:paraId="0C0D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2096" w:type="dxa"/>
            <w:noWrap w:val="0"/>
            <w:vAlign w:val="center"/>
          </w:tcPr>
          <w:p w14:paraId="3C2F9EE8">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采购内容</w:t>
            </w:r>
          </w:p>
        </w:tc>
        <w:tc>
          <w:tcPr>
            <w:tcW w:w="1995" w:type="dxa"/>
            <w:noWrap w:val="0"/>
            <w:vAlign w:val="center"/>
          </w:tcPr>
          <w:p w14:paraId="11E41B68">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磋商报价（元）</w:t>
            </w:r>
          </w:p>
        </w:tc>
        <w:tc>
          <w:tcPr>
            <w:tcW w:w="1460" w:type="dxa"/>
            <w:noWrap w:val="0"/>
            <w:vAlign w:val="center"/>
          </w:tcPr>
          <w:p w14:paraId="6172268E">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项目经理</w:t>
            </w:r>
          </w:p>
        </w:tc>
        <w:tc>
          <w:tcPr>
            <w:tcW w:w="1677" w:type="dxa"/>
            <w:noWrap w:val="0"/>
            <w:vAlign w:val="center"/>
          </w:tcPr>
          <w:p w14:paraId="29667A6D">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工期</w:t>
            </w:r>
          </w:p>
        </w:tc>
        <w:tc>
          <w:tcPr>
            <w:tcW w:w="1663" w:type="dxa"/>
            <w:noWrap w:val="0"/>
            <w:vAlign w:val="center"/>
          </w:tcPr>
          <w:p w14:paraId="3853E444">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质量标准</w:t>
            </w:r>
          </w:p>
        </w:tc>
        <w:tc>
          <w:tcPr>
            <w:tcW w:w="748" w:type="dxa"/>
            <w:noWrap w:val="0"/>
            <w:vAlign w:val="center"/>
          </w:tcPr>
          <w:p w14:paraId="53D3067D">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备注</w:t>
            </w:r>
          </w:p>
        </w:tc>
      </w:tr>
      <w:tr w14:paraId="5F6B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2096" w:type="dxa"/>
            <w:noWrap w:val="0"/>
            <w:vAlign w:val="center"/>
          </w:tcPr>
          <w:p w14:paraId="4D3C91DA">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西延高铁330千伏供电工程征迁项目南郑村、马寨村、呼侯村铲青覆盖及垃圾清运等工程</w:t>
            </w:r>
          </w:p>
        </w:tc>
        <w:tc>
          <w:tcPr>
            <w:tcW w:w="1995" w:type="dxa"/>
            <w:noWrap w:val="0"/>
            <w:vAlign w:val="center"/>
          </w:tcPr>
          <w:p w14:paraId="5757D250">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大写：</w:t>
            </w:r>
          </w:p>
          <w:p w14:paraId="7C1CCBB3">
            <w:pPr>
              <w:pStyle w:val="21"/>
              <w:rPr>
                <w:rFonts w:hint="eastAsia" w:ascii="仿宋_GB2312" w:hAnsi="仿宋_GB2312" w:eastAsia="仿宋_GB2312" w:cs="仿宋_GB2312"/>
                <w:color w:val="auto"/>
                <w:highlight w:val="none"/>
                <w:lang w:val="en-US" w:eastAsia="zh-Hans"/>
              </w:rPr>
            </w:pPr>
          </w:p>
          <w:p w14:paraId="67462434">
            <w:pPr>
              <w:pStyle w:val="21"/>
              <w:rPr>
                <w:rFonts w:hint="eastAsia" w:ascii="仿宋_GB2312" w:hAnsi="仿宋_GB2312" w:eastAsia="仿宋_GB2312" w:cs="仿宋_GB2312"/>
                <w:color w:val="auto"/>
                <w:highlight w:val="none"/>
                <w:lang w:val="en-US" w:eastAsia="zh-Hans"/>
              </w:rPr>
            </w:pPr>
          </w:p>
          <w:p w14:paraId="75E8F808">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小写：</w:t>
            </w:r>
          </w:p>
        </w:tc>
        <w:tc>
          <w:tcPr>
            <w:tcW w:w="1460" w:type="dxa"/>
            <w:noWrap w:val="0"/>
            <w:vAlign w:val="center"/>
          </w:tcPr>
          <w:p w14:paraId="1F8822AD">
            <w:pPr>
              <w:pStyle w:val="21"/>
              <w:rPr>
                <w:rFonts w:hint="eastAsia" w:ascii="仿宋_GB2312" w:hAnsi="仿宋_GB2312" w:eastAsia="仿宋_GB2312" w:cs="仿宋_GB2312"/>
                <w:color w:val="auto"/>
                <w:highlight w:val="none"/>
                <w:lang w:val="en-US" w:eastAsia="zh-Hans"/>
              </w:rPr>
            </w:pPr>
          </w:p>
        </w:tc>
        <w:tc>
          <w:tcPr>
            <w:tcW w:w="1677" w:type="dxa"/>
            <w:noWrap w:val="0"/>
            <w:vAlign w:val="center"/>
          </w:tcPr>
          <w:p w14:paraId="13F07FD9">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自合同签订之日</w:t>
            </w:r>
            <w:r>
              <w:rPr>
                <w:rFonts w:hint="eastAsia" w:ascii="仿宋_GB2312" w:hAnsi="仿宋_GB2312" w:eastAsia="仿宋_GB2312" w:cs="仿宋_GB2312"/>
                <w:color w:val="auto"/>
                <w:highlight w:val="none"/>
                <w:lang w:val="en-US" w:eastAsia="zh-CN"/>
              </w:rPr>
              <w:t>60</w:t>
            </w:r>
            <w:r>
              <w:rPr>
                <w:rFonts w:hint="eastAsia" w:ascii="仿宋_GB2312" w:hAnsi="仿宋_GB2312" w:eastAsia="仿宋_GB2312" w:cs="仿宋_GB2312"/>
                <w:color w:val="auto"/>
                <w:highlight w:val="none"/>
                <w:lang w:val="en-US" w:eastAsia="zh-Hans"/>
              </w:rPr>
              <w:t>日历天</w:t>
            </w:r>
          </w:p>
        </w:tc>
        <w:tc>
          <w:tcPr>
            <w:tcW w:w="1663" w:type="dxa"/>
            <w:noWrap w:val="0"/>
            <w:vAlign w:val="center"/>
          </w:tcPr>
          <w:p w14:paraId="695A1E6C">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符合采购文件和国家及行业规定的建筑工程质量检验评定“合格”标准</w:t>
            </w:r>
          </w:p>
        </w:tc>
        <w:tc>
          <w:tcPr>
            <w:tcW w:w="748" w:type="dxa"/>
            <w:noWrap w:val="0"/>
            <w:vAlign w:val="center"/>
          </w:tcPr>
          <w:p w14:paraId="68FB30C1">
            <w:pPr>
              <w:pStyle w:val="21"/>
              <w:rPr>
                <w:rFonts w:hint="eastAsia" w:ascii="仿宋_GB2312" w:hAnsi="仿宋_GB2312" w:eastAsia="仿宋_GB2312" w:cs="仿宋_GB2312"/>
                <w:color w:val="auto"/>
                <w:highlight w:val="none"/>
                <w:lang w:val="en-US" w:eastAsia="zh-Hans"/>
              </w:rPr>
            </w:pPr>
          </w:p>
        </w:tc>
      </w:tr>
    </w:tbl>
    <w:p w14:paraId="2464C7D1">
      <w:pPr>
        <w:pStyle w:val="21"/>
        <w:rPr>
          <w:rFonts w:hint="eastAsia" w:ascii="仿宋_GB2312" w:hAnsi="仿宋_GB2312" w:eastAsia="仿宋_GB2312" w:cs="仿宋_GB2312"/>
          <w:color w:val="auto"/>
          <w:highlight w:val="none"/>
          <w:lang w:val="en-US" w:eastAsia="zh-Hans"/>
        </w:rPr>
      </w:pPr>
    </w:p>
    <w:p w14:paraId="7F379AE8">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注: 供应商磋商报价不得超过</w:t>
      </w:r>
      <w:r>
        <w:rPr>
          <w:rFonts w:hint="eastAsia" w:ascii="仿宋_GB2312" w:hAnsi="仿宋_GB2312" w:eastAsia="仿宋_GB2312" w:cs="仿宋_GB2312"/>
          <w:color w:val="auto"/>
          <w:highlight w:val="none"/>
          <w:lang w:val="en-US" w:eastAsia="zh-CN"/>
        </w:rPr>
        <w:t>预算</w:t>
      </w:r>
      <w:r>
        <w:rPr>
          <w:rFonts w:hint="eastAsia" w:ascii="仿宋_GB2312" w:hAnsi="仿宋_GB2312" w:eastAsia="仿宋_GB2312" w:cs="仿宋_GB2312"/>
          <w:color w:val="auto"/>
          <w:highlight w:val="none"/>
          <w:lang w:val="en-US" w:eastAsia="zh-Hans"/>
        </w:rPr>
        <w:t>，否则响应文件按无效标处理。</w:t>
      </w:r>
    </w:p>
    <w:p w14:paraId="3A7131DC">
      <w:pPr>
        <w:pStyle w:val="21"/>
        <w:rPr>
          <w:rFonts w:hint="eastAsia" w:ascii="仿宋_GB2312" w:hAnsi="仿宋_GB2312" w:eastAsia="仿宋_GB2312" w:cs="仿宋_GB2312"/>
          <w:color w:val="auto"/>
          <w:highlight w:val="none"/>
          <w:lang w:val="en-US" w:eastAsia="zh-Hans"/>
        </w:rPr>
      </w:pPr>
    </w:p>
    <w:p w14:paraId="47508B9D">
      <w:pPr>
        <w:pStyle w:val="21"/>
        <w:rPr>
          <w:rFonts w:hint="eastAsia" w:ascii="仿宋_GB2312" w:hAnsi="仿宋_GB2312" w:eastAsia="仿宋_GB2312" w:cs="仿宋_GB2312"/>
          <w:color w:val="auto"/>
          <w:highlight w:val="none"/>
          <w:lang w:val="en-US" w:eastAsia="zh-Hans"/>
        </w:rPr>
      </w:pPr>
    </w:p>
    <w:p w14:paraId="6B32A75C">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highlight w:val="none"/>
          <w:lang w:val="en-US" w:eastAsia="zh-Hans"/>
        </w:rPr>
        <w:t>供应商（公章）：</w:t>
      </w:r>
      <w:r>
        <w:rPr>
          <w:rFonts w:hint="eastAsia" w:ascii="仿宋_GB2312" w:hAnsi="仿宋_GB2312" w:eastAsia="仿宋_GB2312" w:cs="仿宋_GB2312"/>
          <w:color w:val="auto"/>
          <w:highlight w:val="none"/>
          <w:u w:val="single"/>
          <w:lang w:val="en-US" w:eastAsia="zh-Hans"/>
        </w:rPr>
        <w:t xml:space="preserve">                   </w:t>
      </w:r>
    </w:p>
    <w:p w14:paraId="230C0242">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highlight w:val="none"/>
          <w:lang w:val="en-US" w:eastAsia="zh-Hans"/>
        </w:rPr>
        <w:t>法定代表人或授权代表（签字或盖章）：</w:t>
      </w:r>
      <w:r>
        <w:rPr>
          <w:rFonts w:hint="eastAsia" w:ascii="仿宋_GB2312" w:hAnsi="仿宋_GB2312" w:eastAsia="仿宋_GB2312" w:cs="仿宋_GB2312"/>
          <w:color w:val="auto"/>
          <w:highlight w:val="none"/>
          <w:u w:val="single"/>
          <w:lang w:val="en-US" w:eastAsia="zh-Hans"/>
        </w:rPr>
        <w:t xml:space="preserve">      </w:t>
      </w:r>
    </w:p>
    <w:p w14:paraId="34D108FF">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 xml:space="preserve">                                 </w:t>
      </w: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highlight w:val="none"/>
          <w:lang w:val="en-US" w:eastAsia="zh-Hans"/>
        </w:rPr>
        <w:t xml:space="preserve">     日     期：</w:t>
      </w:r>
      <w:r>
        <w:rPr>
          <w:rFonts w:hint="eastAsia" w:ascii="仿宋_GB2312" w:hAnsi="仿宋_GB2312" w:eastAsia="仿宋_GB2312" w:cs="仿宋_GB2312"/>
          <w:color w:val="auto"/>
          <w:highlight w:val="none"/>
          <w:u w:val="single"/>
          <w:lang w:val="en-US" w:eastAsia="zh-Hans"/>
        </w:rPr>
        <w:t xml:space="preserve">      年       月      </w:t>
      </w:r>
      <w:r>
        <w:rPr>
          <w:rFonts w:hint="eastAsia" w:ascii="仿宋_GB2312" w:hAnsi="仿宋_GB2312" w:eastAsia="仿宋_GB2312" w:cs="仿宋_GB2312"/>
          <w:color w:val="auto"/>
          <w:highlight w:val="none"/>
          <w:lang w:val="en-US" w:eastAsia="zh-Hans"/>
        </w:rPr>
        <w:t>日</w:t>
      </w:r>
    </w:p>
    <w:p w14:paraId="702FACEA">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br w:type="page"/>
      </w:r>
    </w:p>
    <w:p w14:paraId="02263125">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分项报价表</w:t>
      </w:r>
    </w:p>
    <w:p w14:paraId="17A93991">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项目名称：                 采购项目编号：</w:t>
      </w:r>
    </w:p>
    <w:tbl>
      <w:tblPr>
        <w:tblStyle w:val="14"/>
        <w:tblpPr w:leftFromText="180" w:rightFromText="180" w:vertAnchor="text" w:horzAnchor="page" w:tblpXSpec="center" w:tblpY="32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0"/>
        <w:gridCol w:w="1354"/>
        <w:gridCol w:w="2001"/>
        <w:gridCol w:w="2168"/>
        <w:gridCol w:w="948"/>
      </w:tblGrid>
      <w:tr w14:paraId="5D83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230" w:type="dxa"/>
            <w:noWrap w:val="0"/>
            <w:vAlign w:val="center"/>
          </w:tcPr>
          <w:p w14:paraId="5D159A7E">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采购内容</w:t>
            </w:r>
          </w:p>
        </w:tc>
        <w:tc>
          <w:tcPr>
            <w:tcW w:w="1354" w:type="dxa"/>
            <w:noWrap w:val="0"/>
            <w:vAlign w:val="center"/>
          </w:tcPr>
          <w:p w14:paraId="2BF78B59">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暂定量</w:t>
            </w:r>
          </w:p>
        </w:tc>
        <w:tc>
          <w:tcPr>
            <w:tcW w:w="2001" w:type="dxa"/>
            <w:noWrap w:val="0"/>
            <w:vAlign w:val="center"/>
          </w:tcPr>
          <w:p w14:paraId="12760AF1">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含税完全综合单价</w:t>
            </w:r>
          </w:p>
        </w:tc>
        <w:tc>
          <w:tcPr>
            <w:tcW w:w="2168" w:type="dxa"/>
            <w:noWrap w:val="0"/>
            <w:vAlign w:val="center"/>
          </w:tcPr>
          <w:p w14:paraId="37F53F0D">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合计(元)</w:t>
            </w:r>
          </w:p>
        </w:tc>
        <w:tc>
          <w:tcPr>
            <w:tcW w:w="948" w:type="dxa"/>
            <w:noWrap w:val="0"/>
            <w:vAlign w:val="center"/>
          </w:tcPr>
          <w:p w14:paraId="7C7BE779">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备注</w:t>
            </w:r>
          </w:p>
        </w:tc>
      </w:tr>
      <w:tr w14:paraId="0795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230" w:type="dxa"/>
            <w:noWrap w:val="0"/>
            <w:vAlign w:val="center"/>
          </w:tcPr>
          <w:p w14:paraId="5EE2714E">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rPr>
              <w:t>征地铲青</w:t>
            </w:r>
          </w:p>
        </w:tc>
        <w:tc>
          <w:tcPr>
            <w:tcW w:w="1354" w:type="dxa"/>
            <w:noWrap w:val="0"/>
            <w:vAlign w:val="center"/>
          </w:tcPr>
          <w:p w14:paraId="6A36BCB1">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CN"/>
              </w:rPr>
              <w:t>58</w:t>
            </w:r>
            <w:r>
              <w:rPr>
                <w:rFonts w:ascii="仿宋_GB2312" w:hAnsi="仿宋_GB2312" w:eastAsia="仿宋_GB2312" w:cs="仿宋_GB2312"/>
                <w:color w:val="auto"/>
                <w:highlight w:val="none"/>
              </w:rPr>
              <w:t>亩</w:t>
            </w:r>
          </w:p>
        </w:tc>
        <w:tc>
          <w:tcPr>
            <w:tcW w:w="2001" w:type="dxa"/>
            <w:noWrap w:val="0"/>
            <w:vAlign w:val="center"/>
          </w:tcPr>
          <w:p w14:paraId="7F6A337C">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u w:val="single"/>
                <w:lang w:val="en-US" w:eastAsia="zh-Hans"/>
              </w:rPr>
              <w:t xml:space="preserve">    </w:t>
            </w:r>
            <w:r>
              <w:rPr>
                <w:rFonts w:hint="eastAsia" w:ascii="仿宋_GB2312" w:hAnsi="仿宋_GB2312" w:eastAsia="仿宋_GB2312" w:cs="仿宋_GB2312"/>
                <w:color w:val="auto"/>
                <w:highlight w:val="none"/>
                <w:lang w:val="en-US" w:eastAsia="zh-Hans"/>
              </w:rPr>
              <w:t>元/亩</w:t>
            </w:r>
          </w:p>
        </w:tc>
        <w:tc>
          <w:tcPr>
            <w:tcW w:w="2168" w:type="dxa"/>
            <w:noWrap w:val="0"/>
            <w:vAlign w:val="center"/>
          </w:tcPr>
          <w:p w14:paraId="063CA90C">
            <w:pPr>
              <w:pStyle w:val="21"/>
              <w:rPr>
                <w:rFonts w:hint="eastAsia" w:ascii="仿宋_GB2312" w:hAnsi="仿宋_GB2312" w:eastAsia="仿宋_GB2312" w:cs="仿宋_GB2312"/>
                <w:color w:val="auto"/>
                <w:highlight w:val="none"/>
                <w:lang w:val="en-US" w:eastAsia="zh-Hans"/>
              </w:rPr>
            </w:pPr>
          </w:p>
        </w:tc>
        <w:tc>
          <w:tcPr>
            <w:tcW w:w="948" w:type="dxa"/>
            <w:noWrap w:val="0"/>
            <w:vAlign w:val="center"/>
          </w:tcPr>
          <w:p w14:paraId="74928D7C">
            <w:pPr>
              <w:pStyle w:val="21"/>
              <w:rPr>
                <w:rFonts w:hint="eastAsia" w:ascii="仿宋_GB2312" w:hAnsi="仿宋_GB2312" w:eastAsia="仿宋_GB2312" w:cs="仿宋_GB2312"/>
                <w:color w:val="auto"/>
                <w:highlight w:val="none"/>
                <w:lang w:val="en-US" w:eastAsia="zh-Hans"/>
              </w:rPr>
            </w:pPr>
          </w:p>
        </w:tc>
      </w:tr>
      <w:tr w14:paraId="0ACF5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230" w:type="dxa"/>
            <w:noWrap w:val="0"/>
            <w:vAlign w:val="center"/>
          </w:tcPr>
          <w:p w14:paraId="0D0222BC">
            <w:pPr>
              <w:pStyle w:val="21"/>
              <w:jc w:val="center"/>
              <w:rPr>
                <w:rFonts w:hint="eastAsia" w:ascii="仿宋_GB2312" w:hAnsi="仿宋_GB2312" w:eastAsia="仿宋_GB2312" w:cs="仿宋_GB2312"/>
                <w:color w:val="auto"/>
                <w:highlight w:val="none"/>
                <w:lang w:val="en-US" w:eastAsia="zh-Hans"/>
              </w:rPr>
            </w:pPr>
            <w:r>
              <w:rPr>
                <w:rFonts w:ascii="仿宋_GB2312" w:hAnsi="仿宋_GB2312" w:eastAsia="仿宋_GB2312" w:cs="仿宋_GB2312"/>
                <w:color w:val="auto"/>
                <w:highlight w:val="none"/>
              </w:rPr>
              <w:t>垃圾清运</w:t>
            </w:r>
          </w:p>
        </w:tc>
        <w:tc>
          <w:tcPr>
            <w:tcW w:w="1354" w:type="dxa"/>
            <w:noWrap w:val="0"/>
            <w:vAlign w:val="center"/>
          </w:tcPr>
          <w:p w14:paraId="4FCE6BE4">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CN"/>
              </w:rPr>
              <w:t>16000</w:t>
            </w:r>
            <w:r>
              <w:rPr>
                <w:rFonts w:ascii="仿宋_GB2312" w:hAnsi="仿宋_GB2312" w:eastAsia="仿宋_GB2312" w:cs="仿宋_GB2312"/>
                <w:color w:val="auto"/>
                <w:highlight w:val="none"/>
              </w:rPr>
              <w:t>m³</w:t>
            </w:r>
          </w:p>
        </w:tc>
        <w:tc>
          <w:tcPr>
            <w:tcW w:w="2001" w:type="dxa"/>
            <w:noWrap w:val="0"/>
            <w:vAlign w:val="center"/>
          </w:tcPr>
          <w:p w14:paraId="23D7C4BE">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u w:val="single"/>
                <w:lang w:val="en-US" w:eastAsia="zh-Hans"/>
              </w:rPr>
              <w:t xml:space="preserve">    </w:t>
            </w:r>
            <w:r>
              <w:rPr>
                <w:rFonts w:hint="eastAsia" w:ascii="仿宋_GB2312" w:hAnsi="仿宋_GB2312" w:eastAsia="仿宋_GB2312" w:cs="仿宋_GB2312"/>
                <w:color w:val="auto"/>
                <w:highlight w:val="none"/>
                <w:lang w:val="en-US" w:eastAsia="zh-Hans"/>
              </w:rPr>
              <w:t>元/</w:t>
            </w:r>
            <w:r>
              <w:rPr>
                <w:rFonts w:ascii="仿宋_GB2312" w:hAnsi="仿宋_GB2312" w:eastAsia="仿宋_GB2312" w:cs="仿宋_GB2312"/>
                <w:color w:val="auto"/>
                <w:highlight w:val="none"/>
              </w:rPr>
              <w:t>m³</w:t>
            </w:r>
            <w:bookmarkStart w:id="2" w:name="_GoBack"/>
            <w:bookmarkEnd w:id="2"/>
          </w:p>
        </w:tc>
        <w:tc>
          <w:tcPr>
            <w:tcW w:w="2168" w:type="dxa"/>
            <w:noWrap w:val="0"/>
            <w:vAlign w:val="center"/>
          </w:tcPr>
          <w:p w14:paraId="5F978E77">
            <w:pPr>
              <w:pStyle w:val="21"/>
              <w:rPr>
                <w:rFonts w:hint="eastAsia" w:ascii="仿宋_GB2312" w:hAnsi="仿宋_GB2312" w:eastAsia="仿宋_GB2312" w:cs="仿宋_GB2312"/>
                <w:color w:val="auto"/>
                <w:highlight w:val="none"/>
                <w:lang w:val="en-US" w:eastAsia="zh-Hans"/>
              </w:rPr>
            </w:pPr>
          </w:p>
        </w:tc>
        <w:tc>
          <w:tcPr>
            <w:tcW w:w="948" w:type="dxa"/>
            <w:noWrap w:val="0"/>
            <w:vAlign w:val="center"/>
          </w:tcPr>
          <w:p w14:paraId="7C7BBB79">
            <w:pPr>
              <w:pStyle w:val="21"/>
              <w:rPr>
                <w:rFonts w:hint="eastAsia" w:ascii="仿宋_GB2312" w:hAnsi="仿宋_GB2312" w:eastAsia="仿宋_GB2312" w:cs="仿宋_GB2312"/>
                <w:color w:val="auto"/>
                <w:highlight w:val="none"/>
                <w:lang w:val="en-US" w:eastAsia="zh-Hans"/>
              </w:rPr>
            </w:pPr>
          </w:p>
        </w:tc>
      </w:tr>
      <w:tr w14:paraId="14BE4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2230" w:type="dxa"/>
            <w:noWrap w:val="0"/>
            <w:vAlign w:val="center"/>
          </w:tcPr>
          <w:p w14:paraId="5CE1A7DC">
            <w:pPr>
              <w:pStyle w:val="21"/>
              <w:jc w:val="center"/>
              <w:rPr>
                <w:rFonts w:hint="eastAsia" w:ascii="仿宋_GB2312" w:hAnsi="仿宋_GB2312" w:eastAsia="仿宋_GB2312" w:cs="仿宋_GB2312"/>
                <w:color w:val="auto"/>
                <w:highlight w:val="none"/>
                <w:lang w:val="en-US" w:eastAsia="zh-Hans"/>
              </w:rPr>
            </w:pPr>
            <w:r>
              <w:rPr>
                <w:rFonts w:ascii="仿宋_GB2312" w:hAnsi="仿宋_GB2312" w:eastAsia="仿宋_GB2312" w:cs="仿宋_GB2312"/>
                <w:color w:val="auto"/>
                <w:highlight w:val="none"/>
              </w:rPr>
              <w:t>防尘网覆盖</w:t>
            </w:r>
          </w:p>
        </w:tc>
        <w:tc>
          <w:tcPr>
            <w:tcW w:w="1354" w:type="dxa"/>
            <w:noWrap w:val="0"/>
            <w:vAlign w:val="center"/>
          </w:tcPr>
          <w:p w14:paraId="2EE0A48F">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CN"/>
              </w:rPr>
              <w:t>65</w:t>
            </w:r>
            <w:r>
              <w:rPr>
                <w:rFonts w:ascii="仿宋_GB2312" w:hAnsi="仿宋_GB2312" w:eastAsia="仿宋_GB2312" w:cs="仿宋_GB2312"/>
                <w:color w:val="auto"/>
                <w:highlight w:val="none"/>
              </w:rPr>
              <w:t>亩</w:t>
            </w:r>
          </w:p>
        </w:tc>
        <w:tc>
          <w:tcPr>
            <w:tcW w:w="2001" w:type="dxa"/>
            <w:noWrap w:val="0"/>
            <w:vAlign w:val="center"/>
          </w:tcPr>
          <w:p w14:paraId="1D74798C">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u w:val="single"/>
                <w:lang w:val="en-US" w:eastAsia="zh-Hans"/>
              </w:rPr>
              <w:t xml:space="preserve">    </w:t>
            </w:r>
            <w:r>
              <w:rPr>
                <w:rFonts w:hint="eastAsia" w:ascii="仿宋_GB2312" w:hAnsi="仿宋_GB2312" w:eastAsia="仿宋_GB2312" w:cs="仿宋_GB2312"/>
                <w:color w:val="auto"/>
                <w:highlight w:val="none"/>
                <w:lang w:val="en-US" w:eastAsia="zh-Hans"/>
              </w:rPr>
              <w:t>元/亩</w:t>
            </w:r>
          </w:p>
        </w:tc>
        <w:tc>
          <w:tcPr>
            <w:tcW w:w="2168" w:type="dxa"/>
            <w:noWrap w:val="0"/>
            <w:vAlign w:val="center"/>
          </w:tcPr>
          <w:p w14:paraId="4D04BD6A">
            <w:pPr>
              <w:pStyle w:val="21"/>
              <w:rPr>
                <w:rFonts w:hint="eastAsia" w:ascii="仿宋_GB2312" w:hAnsi="仿宋_GB2312" w:eastAsia="仿宋_GB2312" w:cs="仿宋_GB2312"/>
                <w:color w:val="auto"/>
                <w:highlight w:val="none"/>
                <w:lang w:val="en-US" w:eastAsia="zh-Hans"/>
              </w:rPr>
            </w:pPr>
          </w:p>
        </w:tc>
        <w:tc>
          <w:tcPr>
            <w:tcW w:w="948" w:type="dxa"/>
            <w:noWrap w:val="0"/>
            <w:vAlign w:val="center"/>
          </w:tcPr>
          <w:p w14:paraId="7D186017">
            <w:pPr>
              <w:pStyle w:val="21"/>
              <w:rPr>
                <w:rFonts w:hint="eastAsia" w:ascii="仿宋_GB2312" w:hAnsi="仿宋_GB2312" w:eastAsia="仿宋_GB2312" w:cs="仿宋_GB2312"/>
                <w:color w:val="auto"/>
                <w:highlight w:val="none"/>
                <w:lang w:val="en-US" w:eastAsia="zh-Hans"/>
              </w:rPr>
            </w:pPr>
          </w:p>
        </w:tc>
      </w:tr>
      <w:tr w14:paraId="5427B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230" w:type="dxa"/>
            <w:noWrap w:val="0"/>
            <w:vAlign w:val="center"/>
          </w:tcPr>
          <w:p w14:paraId="171D162C">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CN"/>
              </w:rPr>
              <w:t>地面</w:t>
            </w:r>
            <w:r>
              <w:rPr>
                <w:rFonts w:ascii="仿宋_GB2312" w:hAnsi="仿宋_GB2312" w:eastAsia="仿宋_GB2312" w:cs="仿宋_GB2312"/>
                <w:color w:val="auto"/>
                <w:highlight w:val="none"/>
              </w:rPr>
              <w:t>破除</w:t>
            </w:r>
          </w:p>
        </w:tc>
        <w:tc>
          <w:tcPr>
            <w:tcW w:w="1354" w:type="dxa"/>
            <w:noWrap w:val="0"/>
            <w:vAlign w:val="center"/>
          </w:tcPr>
          <w:p w14:paraId="612FA54A">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CN"/>
              </w:rPr>
              <w:t>11000</w:t>
            </w:r>
            <w:r>
              <w:rPr>
                <w:rFonts w:ascii="仿宋_GB2312" w:hAnsi="仿宋_GB2312" w:eastAsia="仿宋_GB2312" w:cs="仿宋_GB2312"/>
                <w:color w:val="auto"/>
                <w:highlight w:val="none"/>
              </w:rPr>
              <w:t>㎡</w:t>
            </w:r>
          </w:p>
        </w:tc>
        <w:tc>
          <w:tcPr>
            <w:tcW w:w="2001" w:type="dxa"/>
            <w:noWrap w:val="0"/>
            <w:vAlign w:val="center"/>
          </w:tcPr>
          <w:p w14:paraId="1D733CF7">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u w:val="single"/>
                <w:lang w:val="en-US" w:eastAsia="zh-Hans"/>
              </w:rPr>
              <w:t xml:space="preserve">    </w:t>
            </w:r>
            <w:r>
              <w:rPr>
                <w:rFonts w:hint="eastAsia" w:ascii="仿宋_GB2312" w:hAnsi="仿宋_GB2312" w:eastAsia="仿宋_GB2312" w:cs="仿宋_GB2312"/>
                <w:color w:val="auto"/>
                <w:highlight w:val="none"/>
                <w:lang w:val="en-US" w:eastAsia="zh-Hans"/>
              </w:rPr>
              <w:t>元/㎡</w:t>
            </w:r>
          </w:p>
        </w:tc>
        <w:tc>
          <w:tcPr>
            <w:tcW w:w="2168" w:type="dxa"/>
            <w:noWrap w:val="0"/>
            <w:vAlign w:val="center"/>
          </w:tcPr>
          <w:p w14:paraId="0EB0FD77">
            <w:pPr>
              <w:pStyle w:val="21"/>
              <w:rPr>
                <w:rFonts w:hint="eastAsia" w:ascii="仿宋_GB2312" w:hAnsi="仿宋_GB2312" w:eastAsia="仿宋_GB2312" w:cs="仿宋_GB2312"/>
                <w:color w:val="auto"/>
                <w:highlight w:val="none"/>
                <w:lang w:val="en-US" w:eastAsia="zh-Hans"/>
              </w:rPr>
            </w:pPr>
          </w:p>
        </w:tc>
        <w:tc>
          <w:tcPr>
            <w:tcW w:w="948" w:type="dxa"/>
            <w:noWrap w:val="0"/>
            <w:vAlign w:val="center"/>
          </w:tcPr>
          <w:p w14:paraId="2AE4CA7B">
            <w:pPr>
              <w:pStyle w:val="21"/>
              <w:rPr>
                <w:rFonts w:hint="eastAsia" w:ascii="仿宋_GB2312" w:hAnsi="仿宋_GB2312" w:eastAsia="仿宋_GB2312" w:cs="仿宋_GB2312"/>
                <w:color w:val="auto"/>
                <w:highlight w:val="none"/>
                <w:lang w:val="en-US" w:eastAsia="zh-Hans"/>
              </w:rPr>
            </w:pPr>
          </w:p>
        </w:tc>
      </w:tr>
      <w:tr w14:paraId="72CD2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230" w:type="dxa"/>
            <w:noWrap w:val="0"/>
            <w:vAlign w:val="center"/>
          </w:tcPr>
          <w:p w14:paraId="4C197CBD">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CN"/>
              </w:rPr>
              <w:t>厂房拆除</w:t>
            </w:r>
          </w:p>
        </w:tc>
        <w:tc>
          <w:tcPr>
            <w:tcW w:w="1354" w:type="dxa"/>
            <w:noWrap w:val="0"/>
            <w:vAlign w:val="center"/>
          </w:tcPr>
          <w:p w14:paraId="6E0928F8">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CN"/>
              </w:rPr>
              <w:t>7000</w:t>
            </w:r>
            <w:r>
              <w:rPr>
                <w:rFonts w:ascii="仿宋_GB2312" w:hAnsi="仿宋_GB2312" w:eastAsia="仿宋_GB2312" w:cs="仿宋_GB2312"/>
                <w:color w:val="auto"/>
                <w:highlight w:val="none"/>
              </w:rPr>
              <w:t>㎡</w:t>
            </w:r>
          </w:p>
        </w:tc>
        <w:tc>
          <w:tcPr>
            <w:tcW w:w="2001" w:type="dxa"/>
            <w:noWrap w:val="0"/>
            <w:vAlign w:val="center"/>
          </w:tcPr>
          <w:p w14:paraId="7B0F3907">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u w:val="single"/>
                <w:lang w:val="en-US" w:eastAsia="zh-Hans"/>
              </w:rPr>
              <w:t xml:space="preserve">    </w:t>
            </w:r>
            <w:r>
              <w:rPr>
                <w:rFonts w:hint="eastAsia" w:ascii="仿宋_GB2312" w:hAnsi="仿宋_GB2312" w:eastAsia="仿宋_GB2312" w:cs="仿宋_GB2312"/>
                <w:color w:val="auto"/>
                <w:highlight w:val="none"/>
                <w:lang w:val="en-US" w:eastAsia="zh-Hans"/>
              </w:rPr>
              <w:t>元/</w:t>
            </w:r>
            <w:r>
              <w:rPr>
                <w:rFonts w:ascii="仿宋_GB2312" w:hAnsi="仿宋_GB2312" w:eastAsia="仿宋_GB2312" w:cs="仿宋_GB2312"/>
                <w:color w:val="auto"/>
                <w:highlight w:val="none"/>
              </w:rPr>
              <w:t>㎡</w:t>
            </w:r>
          </w:p>
        </w:tc>
        <w:tc>
          <w:tcPr>
            <w:tcW w:w="2168" w:type="dxa"/>
            <w:noWrap w:val="0"/>
            <w:vAlign w:val="center"/>
          </w:tcPr>
          <w:p w14:paraId="11380935">
            <w:pPr>
              <w:pStyle w:val="21"/>
              <w:rPr>
                <w:rFonts w:hint="eastAsia" w:ascii="仿宋_GB2312" w:hAnsi="仿宋_GB2312" w:eastAsia="仿宋_GB2312" w:cs="仿宋_GB2312"/>
                <w:color w:val="auto"/>
                <w:highlight w:val="none"/>
                <w:lang w:val="en-US" w:eastAsia="zh-Hans"/>
              </w:rPr>
            </w:pPr>
          </w:p>
        </w:tc>
        <w:tc>
          <w:tcPr>
            <w:tcW w:w="948" w:type="dxa"/>
            <w:noWrap w:val="0"/>
            <w:vAlign w:val="center"/>
          </w:tcPr>
          <w:p w14:paraId="10DC52DD">
            <w:pPr>
              <w:pStyle w:val="21"/>
              <w:rPr>
                <w:rFonts w:hint="eastAsia" w:ascii="仿宋_GB2312" w:hAnsi="仿宋_GB2312" w:eastAsia="仿宋_GB2312" w:cs="仿宋_GB2312"/>
                <w:color w:val="auto"/>
                <w:highlight w:val="none"/>
                <w:lang w:val="en-US" w:eastAsia="zh-Hans"/>
              </w:rPr>
            </w:pPr>
          </w:p>
        </w:tc>
      </w:tr>
      <w:tr w14:paraId="0595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230" w:type="dxa"/>
            <w:noWrap w:val="0"/>
            <w:vAlign w:val="center"/>
          </w:tcPr>
          <w:p w14:paraId="1EC260A6">
            <w:pPr>
              <w:pStyle w:val="21"/>
              <w:jc w:val="center"/>
              <w:rPr>
                <w:rFonts w:hint="eastAsia" w:ascii="仿宋_GB2312" w:hAnsi="仿宋_GB2312" w:eastAsia="仿宋_GB2312" w:cs="仿宋_GB2312"/>
                <w:color w:val="auto"/>
                <w:highlight w:val="none"/>
                <w:lang w:val="en-US" w:eastAsia="zh-CN"/>
              </w:rPr>
            </w:pPr>
            <w:r>
              <w:rPr>
                <w:rFonts w:hint="eastAsia" w:ascii="仿宋" w:hAnsi="仿宋" w:eastAsia="仿宋" w:cs="仿宋"/>
                <w:color w:val="auto"/>
                <w:sz w:val="20"/>
                <w:szCs w:val="20"/>
                <w:highlight w:val="none"/>
                <w:lang w:val="en-US" w:eastAsia="zh-CN"/>
              </w:rPr>
              <w:t>围墙圈建</w:t>
            </w:r>
          </w:p>
        </w:tc>
        <w:tc>
          <w:tcPr>
            <w:tcW w:w="1354" w:type="dxa"/>
            <w:noWrap w:val="0"/>
            <w:vAlign w:val="center"/>
          </w:tcPr>
          <w:p w14:paraId="61AA994F">
            <w:pPr>
              <w:pStyle w:val="21"/>
              <w:jc w:val="center"/>
              <w:rPr>
                <w:rFonts w:hint="eastAsia" w:ascii="仿宋_GB2312" w:hAnsi="仿宋_GB2312" w:eastAsia="仿宋_GB2312" w:cs="仿宋_GB2312"/>
                <w:color w:val="auto"/>
                <w:highlight w:val="none"/>
                <w:lang w:val="en-US" w:eastAsia="zh-CN"/>
              </w:rPr>
            </w:pPr>
            <w:r>
              <w:rPr>
                <w:rFonts w:hint="eastAsia" w:ascii="仿宋" w:hAnsi="仿宋" w:eastAsia="仿宋" w:cs="仿宋"/>
                <w:color w:val="auto"/>
                <w:sz w:val="20"/>
                <w:szCs w:val="20"/>
                <w:highlight w:val="none"/>
                <w:lang w:val="en-US" w:eastAsia="zh-CN"/>
              </w:rPr>
              <w:t>1300m</w:t>
            </w:r>
          </w:p>
        </w:tc>
        <w:tc>
          <w:tcPr>
            <w:tcW w:w="2001" w:type="dxa"/>
            <w:noWrap w:val="0"/>
            <w:vAlign w:val="center"/>
          </w:tcPr>
          <w:p w14:paraId="23500D0C">
            <w:pPr>
              <w:pStyle w:val="21"/>
              <w:rPr>
                <w:rFonts w:hint="eastAsia" w:ascii="仿宋_GB2312" w:hAnsi="仿宋_GB2312" w:eastAsia="仿宋_GB2312" w:cs="仿宋_GB2312"/>
                <w:color w:val="auto"/>
                <w:highlight w:val="none"/>
                <w:lang w:val="en-US" w:eastAsia="zh-Hans"/>
              </w:rPr>
            </w:pP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元/</w:t>
            </w:r>
            <w:r>
              <w:rPr>
                <w:rFonts w:hint="eastAsia" w:ascii="仿宋" w:hAnsi="仿宋" w:eastAsia="仿宋" w:cs="仿宋"/>
                <w:color w:val="auto"/>
                <w:sz w:val="20"/>
                <w:szCs w:val="20"/>
                <w:highlight w:val="none"/>
                <w:lang w:val="en-US" w:eastAsia="zh-CN"/>
              </w:rPr>
              <w:t>m</w:t>
            </w:r>
          </w:p>
        </w:tc>
        <w:tc>
          <w:tcPr>
            <w:tcW w:w="2168" w:type="dxa"/>
            <w:noWrap w:val="0"/>
            <w:vAlign w:val="center"/>
          </w:tcPr>
          <w:p w14:paraId="2F604761">
            <w:pPr>
              <w:pStyle w:val="21"/>
              <w:rPr>
                <w:rFonts w:hint="eastAsia" w:ascii="仿宋_GB2312" w:hAnsi="仿宋_GB2312" w:eastAsia="仿宋_GB2312" w:cs="仿宋_GB2312"/>
                <w:color w:val="auto"/>
                <w:highlight w:val="none"/>
                <w:lang w:val="en-US" w:eastAsia="zh-Hans"/>
              </w:rPr>
            </w:pPr>
          </w:p>
        </w:tc>
        <w:tc>
          <w:tcPr>
            <w:tcW w:w="948" w:type="dxa"/>
            <w:noWrap w:val="0"/>
            <w:vAlign w:val="center"/>
          </w:tcPr>
          <w:p w14:paraId="0169CD4C">
            <w:pPr>
              <w:pStyle w:val="21"/>
              <w:rPr>
                <w:rFonts w:hint="eastAsia" w:ascii="仿宋_GB2312" w:hAnsi="仿宋_GB2312" w:eastAsia="仿宋_GB2312" w:cs="仿宋_GB2312"/>
                <w:color w:val="auto"/>
                <w:highlight w:val="none"/>
                <w:lang w:val="en-US" w:eastAsia="zh-Hans"/>
              </w:rPr>
            </w:pPr>
          </w:p>
        </w:tc>
      </w:tr>
      <w:tr w14:paraId="2D99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3584" w:type="dxa"/>
            <w:gridSpan w:val="2"/>
            <w:noWrap w:val="0"/>
            <w:vAlign w:val="center"/>
          </w:tcPr>
          <w:p w14:paraId="331970AE">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磋商报价</w:t>
            </w:r>
          </w:p>
        </w:tc>
        <w:tc>
          <w:tcPr>
            <w:tcW w:w="5117" w:type="dxa"/>
            <w:gridSpan w:val="3"/>
            <w:noWrap w:val="0"/>
            <w:vAlign w:val="center"/>
          </w:tcPr>
          <w:p w14:paraId="06C1B581">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小写：</w:t>
            </w:r>
          </w:p>
          <w:p w14:paraId="7F29AB5F">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大写：</w:t>
            </w:r>
          </w:p>
        </w:tc>
      </w:tr>
    </w:tbl>
    <w:p w14:paraId="6390032A">
      <w:pPr>
        <w:pStyle w:val="21"/>
        <w:rPr>
          <w:rFonts w:hint="eastAsia" w:ascii="仿宋_GB2312" w:hAnsi="仿宋_GB2312" w:eastAsia="仿宋_GB2312" w:cs="仿宋_GB2312"/>
          <w:color w:val="auto"/>
          <w:highlight w:val="none"/>
          <w:lang w:val="en-US" w:eastAsia="zh-Hans"/>
        </w:rPr>
      </w:pPr>
    </w:p>
    <w:p w14:paraId="0A4D5706">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备注：1、以上工程量为暂定数量，结算时以实际数量为准；</w:t>
      </w:r>
    </w:p>
    <w:p w14:paraId="04B93047">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2、含税完全综合单价&gt;含税完全综合单价最高限价或投标总价&gt;预算金额时，即为无效文件；</w:t>
      </w:r>
    </w:p>
    <w:p w14:paraId="36009068">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3、分项报价表中磋商报价金额须与首次磋商报价表中磋商报价金额一致。</w:t>
      </w:r>
    </w:p>
    <w:p w14:paraId="0DC0C5F5">
      <w:pPr>
        <w:pStyle w:val="21"/>
        <w:rPr>
          <w:rFonts w:hint="eastAsia" w:ascii="仿宋_GB2312" w:hAnsi="仿宋_GB2312" w:eastAsia="仿宋_GB2312" w:cs="仿宋_GB2312"/>
          <w:color w:val="auto"/>
          <w:highlight w:val="none"/>
          <w:lang w:val="en-US" w:eastAsia="zh-Hans"/>
        </w:rPr>
      </w:pPr>
    </w:p>
    <w:p w14:paraId="49C6DDEF">
      <w:pPr>
        <w:pStyle w:val="21"/>
        <w:ind w:firstLine="5800" w:firstLineChars="2900"/>
        <w:jc w:val="both"/>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供应商（公章）：</w:t>
      </w:r>
      <w:r>
        <w:rPr>
          <w:rFonts w:hint="eastAsia" w:ascii="仿宋_GB2312" w:hAnsi="仿宋_GB2312" w:eastAsia="仿宋_GB2312" w:cs="仿宋_GB2312"/>
          <w:color w:val="auto"/>
          <w:highlight w:val="none"/>
          <w:u w:val="single"/>
          <w:lang w:val="en-US" w:eastAsia="zh-Hans"/>
        </w:rPr>
        <w:t xml:space="preserve">           </w:t>
      </w:r>
    </w:p>
    <w:p w14:paraId="25AAC91B">
      <w:pPr>
        <w:pStyle w:val="21"/>
        <w:jc w:val="center"/>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highlight w:val="none"/>
          <w:lang w:val="en-US" w:eastAsia="zh-Hans"/>
        </w:rPr>
        <w:t>法定代表人或授权代表（签字或盖章）：</w:t>
      </w:r>
      <w:r>
        <w:rPr>
          <w:rFonts w:hint="eastAsia" w:ascii="仿宋_GB2312" w:hAnsi="仿宋_GB2312" w:eastAsia="仿宋_GB2312" w:cs="仿宋_GB2312"/>
          <w:color w:val="auto"/>
          <w:highlight w:val="none"/>
          <w:u w:val="single"/>
          <w:lang w:val="en-US" w:eastAsia="zh-Hans"/>
        </w:rPr>
        <w:t xml:space="preserve">           </w:t>
      </w:r>
    </w:p>
    <w:p w14:paraId="1F147DA7">
      <w:pPr>
        <w:pStyle w:val="21"/>
        <w:jc w:val="right"/>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日期：</w:t>
      </w:r>
      <w:r>
        <w:rPr>
          <w:rFonts w:hint="eastAsia" w:ascii="仿宋_GB2312" w:hAnsi="仿宋_GB2312" w:eastAsia="仿宋_GB2312" w:cs="仿宋_GB2312"/>
          <w:color w:val="auto"/>
          <w:highlight w:val="none"/>
          <w:u w:val="single"/>
          <w:lang w:val="en-US" w:eastAsia="zh-Hans"/>
        </w:rPr>
        <w:t xml:space="preserve">      年       月      </w:t>
      </w:r>
      <w:r>
        <w:rPr>
          <w:rFonts w:hint="eastAsia" w:ascii="仿宋_GB2312" w:hAnsi="仿宋_GB2312" w:eastAsia="仿宋_GB2312" w:cs="仿宋_GB2312"/>
          <w:color w:val="auto"/>
          <w:highlight w:val="none"/>
          <w:lang w:val="en-US" w:eastAsia="zh-Hans"/>
        </w:rPr>
        <w:t>日</w:t>
      </w:r>
    </w:p>
    <w:p w14:paraId="190BFC5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EDA1E"/>
    <w:multiLevelType w:val="multilevel"/>
    <w:tmpl w:val="2DDEDA1E"/>
    <w:lvl w:ilvl="0" w:tentative="0">
      <w:start w:val="1"/>
      <w:numFmt w:val="decimal"/>
      <w:pStyle w:val="2"/>
      <w:lvlText w:val="%1."/>
      <w:lvlJc w:val="left"/>
      <w:pPr>
        <w:ind w:left="420" w:hanging="420"/>
      </w:pPr>
      <w:rPr>
        <w:rFonts w:hint="default" w:ascii="Arial" w:hAnsi="Arial" w:cs="Arial"/>
        <w:b/>
        <w:bCs w:val="0"/>
        <w:i w:val="0"/>
        <w:iCs w:val="0"/>
        <w:caps w:val="0"/>
        <w:smallCaps w:val="0"/>
        <w:strike w:val="0"/>
        <w:dstrike w:val="0"/>
        <w:vanish w:val="0"/>
        <w:color w:val="000000"/>
        <w:spacing w:val="0"/>
        <w:position w:val="0"/>
        <w:sz w:val="36"/>
        <w:u w:val="none"/>
        <w:vertAlign w:val="baseline"/>
        <w:lang w:eastAsia="zh-CN"/>
        <w14:shadow w14:blurRad="0" w14:dist="0" w14:dir="0" w14:sx="0" w14:sy="0" w14:kx="0" w14:ky="0" w14:algn="none">
          <w14:srgbClr w14:val="000000"/>
        </w14:shadow>
      </w:rPr>
    </w:lvl>
    <w:lvl w:ilvl="1" w:tentative="0">
      <w:start w:val="1"/>
      <w:numFmt w:val="decimal"/>
      <w:pStyle w:val="3"/>
      <w:suff w:val="space"/>
      <w:lvlText w:val="%1.%2"/>
      <w:lvlJc w:val="left"/>
      <w:pPr>
        <w:ind w:left="0" w:firstLine="0"/>
      </w:pPr>
      <w:rPr>
        <w:rFonts w:hint="default" w:ascii="Arial" w:hAnsi="Arial" w:cs="Arial"/>
        <w:b/>
        <w:sz w:val="36"/>
        <w:szCs w:val="36"/>
        <w:lang w:eastAsia="zh-CN"/>
      </w:rPr>
    </w:lvl>
    <w:lvl w:ilvl="2" w:tentative="0">
      <w:start w:val="1"/>
      <w:numFmt w:val="decimal"/>
      <w:pStyle w:val="4"/>
      <w:suff w:val="space"/>
      <w:lvlText w:val="%1.%2.%3"/>
      <w:lvlJc w:val="left"/>
      <w:pPr>
        <w:ind w:left="3261" w:firstLine="0"/>
      </w:pPr>
      <w:rPr>
        <w:rFonts w:hint="default" w:ascii="Arial" w:hAnsi="Arial" w:cs="Arial"/>
        <w:sz w:val="30"/>
        <w:szCs w:val="30"/>
      </w:rPr>
    </w:lvl>
    <w:lvl w:ilvl="3" w:tentative="0">
      <w:start w:val="1"/>
      <w:numFmt w:val="decimal"/>
      <w:pStyle w:val="5"/>
      <w:suff w:val="space"/>
      <w:lvlText w:val="%1.%2.%3.%4"/>
      <w:lvlJc w:val="left"/>
      <w:pPr>
        <w:ind w:left="1418" w:firstLine="0"/>
      </w:pPr>
      <w:rPr>
        <w:rFonts w:hint="default" w:ascii="Arial" w:hAnsi="Arial" w:cs="Arial"/>
        <w:sz w:val="28"/>
        <w:szCs w:val="28"/>
        <w:lang w:val="zh-CN"/>
      </w:rPr>
    </w:lvl>
    <w:lvl w:ilvl="4" w:tentative="0">
      <w:start w:val="1"/>
      <w:numFmt w:val="decimal"/>
      <w:pStyle w:val="6"/>
      <w:suff w:val="space"/>
      <w:lvlText w:val="（%5）"/>
      <w:lvlJc w:val="left"/>
      <w:pPr>
        <w:ind w:left="-137" w:firstLine="420"/>
      </w:pPr>
      <w:rPr>
        <w:rFonts w:hint="default" w:ascii="Arial" w:hAnsi="Arial" w:cs="Arial"/>
        <w:b w:val="0"/>
        <w:sz w:val="24"/>
      </w:rPr>
    </w:lvl>
    <w:lvl w:ilvl="5" w:tentative="0">
      <w:start w:val="1"/>
      <w:numFmt w:val="decimal"/>
      <w:pStyle w:val="7"/>
      <w:suff w:val="space"/>
      <w:lvlText w:val="%6）"/>
      <w:lvlJc w:val="left"/>
      <w:pPr>
        <w:ind w:left="0" w:firstLine="601"/>
      </w:pPr>
      <w:rPr>
        <w:rFonts w:hint="default" w:ascii="Arial" w:hAnsi="Arial" w:cs="Arial"/>
        <w:sz w:val="24"/>
        <w:szCs w:val="10351"/>
      </w:rPr>
    </w:lvl>
    <w:lvl w:ilvl="6" w:tentative="0">
      <w:start w:val="1"/>
      <w:numFmt w:val="upperLetter"/>
      <w:pStyle w:val="8"/>
      <w:suff w:val="space"/>
      <w:lvlText w:val="%7."/>
      <w:lvlJc w:val="left"/>
      <w:pPr>
        <w:ind w:left="0" w:firstLine="601"/>
      </w:pPr>
      <w:rPr>
        <w:rFonts w:hint="default" w:ascii="Arial" w:hAnsi="Arial" w:cs="Arial"/>
        <w:sz w:val="24"/>
      </w:rPr>
    </w:lvl>
    <w:lvl w:ilvl="7" w:tentative="0">
      <w:start w:val="1"/>
      <w:numFmt w:val="lowerLetter"/>
      <w:pStyle w:val="9"/>
      <w:suff w:val="space"/>
      <w:lvlText w:val="%8."/>
      <w:lvlJc w:val="left"/>
      <w:pPr>
        <w:ind w:left="0" w:firstLine="601"/>
      </w:pPr>
      <w:rPr>
        <w:rFonts w:hint="default" w:ascii="Arial" w:hAnsi="Arial" w:cs="Arial"/>
        <w:sz w:val="24"/>
        <w:szCs w:val="24"/>
      </w:rPr>
    </w:lvl>
    <w:lvl w:ilvl="8" w:tentative="0">
      <w:start w:val="1"/>
      <w:numFmt w:val="lowerLetter"/>
      <w:pStyle w:val="10"/>
      <w:suff w:val="space"/>
      <w:lvlText w:val="%9）"/>
      <w:lvlJc w:val="left"/>
      <w:pPr>
        <w:ind w:left="0" w:firstLine="601"/>
      </w:pPr>
      <w:rPr>
        <w:rFonts w:hint="default" w:ascii="Arial" w:hAnsi="Arial"/>
        <w:color w:val="000000"/>
        <w:sz w:val="24"/>
        <w14:shadow w14:blurRad="0" w14:dist="0" w14:dir="0" w14:sx="0" w14:sy="0" w14:kx="0" w14:ky="0" w14:algn="none">
          <w14:srgbClr w14:val="000000"/>
        </w14:shadow>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C81F3F"/>
    <w:rsid w:val="023A5B5D"/>
    <w:rsid w:val="043553B6"/>
    <w:rsid w:val="04F76B05"/>
    <w:rsid w:val="073267E9"/>
    <w:rsid w:val="09E117D0"/>
    <w:rsid w:val="0AD57275"/>
    <w:rsid w:val="0BBB2BEB"/>
    <w:rsid w:val="0D233659"/>
    <w:rsid w:val="0D961E7E"/>
    <w:rsid w:val="0DCD3DDF"/>
    <w:rsid w:val="108012DF"/>
    <w:rsid w:val="11167533"/>
    <w:rsid w:val="117621CC"/>
    <w:rsid w:val="17A62F5E"/>
    <w:rsid w:val="17E35B4B"/>
    <w:rsid w:val="189078DA"/>
    <w:rsid w:val="1B6E37E3"/>
    <w:rsid w:val="1B8B45D4"/>
    <w:rsid w:val="1CAC23AA"/>
    <w:rsid w:val="21E112ED"/>
    <w:rsid w:val="22CF1D2C"/>
    <w:rsid w:val="267C4F33"/>
    <w:rsid w:val="27364F1E"/>
    <w:rsid w:val="28D0778C"/>
    <w:rsid w:val="2A2A43E8"/>
    <w:rsid w:val="2BD60BFE"/>
    <w:rsid w:val="2BF96FAD"/>
    <w:rsid w:val="2C7A3933"/>
    <w:rsid w:val="2FFB1F8A"/>
    <w:rsid w:val="30A82074"/>
    <w:rsid w:val="30DB2AEB"/>
    <w:rsid w:val="325E7AC2"/>
    <w:rsid w:val="33A44603"/>
    <w:rsid w:val="33FB1B8D"/>
    <w:rsid w:val="349C3B68"/>
    <w:rsid w:val="34A357B5"/>
    <w:rsid w:val="35BC48B8"/>
    <w:rsid w:val="36C81F3F"/>
    <w:rsid w:val="37B81AC6"/>
    <w:rsid w:val="38B24394"/>
    <w:rsid w:val="3A41145C"/>
    <w:rsid w:val="3A6841DD"/>
    <w:rsid w:val="3B502494"/>
    <w:rsid w:val="411260D2"/>
    <w:rsid w:val="41A235DB"/>
    <w:rsid w:val="425256AA"/>
    <w:rsid w:val="428C475C"/>
    <w:rsid w:val="43A15B81"/>
    <w:rsid w:val="43C76A6E"/>
    <w:rsid w:val="45EB7221"/>
    <w:rsid w:val="461D2DB2"/>
    <w:rsid w:val="46440DFC"/>
    <w:rsid w:val="488C3186"/>
    <w:rsid w:val="4AE6349B"/>
    <w:rsid w:val="4C4912EE"/>
    <w:rsid w:val="4D084640"/>
    <w:rsid w:val="506E3F2C"/>
    <w:rsid w:val="51677848"/>
    <w:rsid w:val="52291B63"/>
    <w:rsid w:val="535C07A5"/>
    <w:rsid w:val="538D7C23"/>
    <w:rsid w:val="561276EA"/>
    <w:rsid w:val="572B436A"/>
    <w:rsid w:val="5A91358B"/>
    <w:rsid w:val="5B242A58"/>
    <w:rsid w:val="5C187458"/>
    <w:rsid w:val="62FC765F"/>
    <w:rsid w:val="636628C6"/>
    <w:rsid w:val="63F92934"/>
    <w:rsid w:val="645C6D2C"/>
    <w:rsid w:val="64B06A1C"/>
    <w:rsid w:val="663D1FA2"/>
    <w:rsid w:val="68CF08D6"/>
    <w:rsid w:val="697964CD"/>
    <w:rsid w:val="699B7F4C"/>
    <w:rsid w:val="6A4F1C98"/>
    <w:rsid w:val="6A890F99"/>
    <w:rsid w:val="6A9A25D1"/>
    <w:rsid w:val="6AA61A1F"/>
    <w:rsid w:val="6BD73442"/>
    <w:rsid w:val="6CB56535"/>
    <w:rsid w:val="6E3062F6"/>
    <w:rsid w:val="72D63D22"/>
    <w:rsid w:val="73013662"/>
    <w:rsid w:val="735201EA"/>
    <w:rsid w:val="74FC22EF"/>
    <w:rsid w:val="78362761"/>
    <w:rsid w:val="7DEA0344"/>
    <w:rsid w:val="7E1E6D28"/>
    <w:rsid w:val="7E5873B7"/>
    <w:rsid w:val="7F1D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17"/>
    <w:qFormat/>
    <w:uiPriority w:val="0"/>
    <w:pPr>
      <w:pageBreakBefore/>
      <w:numPr>
        <w:ilvl w:val="0"/>
        <w:numId w:val="1"/>
      </w:numPr>
      <w:spacing w:before="320" w:after="320" w:line="240" w:lineRule="auto"/>
      <w:ind w:firstLineChars="0"/>
      <w:jc w:val="center"/>
      <w:outlineLvl w:val="0"/>
    </w:pPr>
    <w:rPr>
      <w:rFonts w:ascii="Times New Roman" w:hAnsi="Times New Roman" w:eastAsia="仿宋" w:cs="Times New Roman"/>
      <w:b/>
      <w:bCs/>
      <w:kern w:val="44"/>
      <w:sz w:val="30"/>
      <w:szCs w:val="44"/>
    </w:rPr>
  </w:style>
  <w:style w:type="paragraph" w:styleId="3">
    <w:name w:val="heading 2"/>
    <w:basedOn w:val="1"/>
    <w:next w:val="1"/>
    <w:link w:val="16"/>
    <w:semiHidden/>
    <w:unhideWhenUsed/>
    <w:qFormat/>
    <w:uiPriority w:val="0"/>
    <w:pPr>
      <w:numPr>
        <w:ilvl w:val="1"/>
        <w:numId w:val="1"/>
      </w:numPr>
      <w:spacing w:before="240" w:after="120" w:line="360" w:lineRule="auto"/>
      <w:jc w:val="center"/>
      <w:outlineLvl w:val="1"/>
    </w:pPr>
    <w:rPr>
      <w:b/>
      <w:bCs/>
      <w:sz w:val="32"/>
      <w:szCs w:val="28"/>
    </w:rPr>
  </w:style>
  <w:style w:type="paragraph" w:styleId="4">
    <w:name w:val="heading 3"/>
    <w:basedOn w:val="1"/>
    <w:next w:val="1"/>
    <w:link w:val="18"/>
    <w:semiHidden/>
    <w:unhideWhenUsed/>
    <w:qFormat/>
    <w:uiPriority w:val="0"/>
    <w:pPr>
      <w:numPr>
        <w:ilvl w:val="2"/>
        <w:numId w:val="1"/>
      </w:numPr>
      <w:tabs>
        <w:tab w:val="left" w:pos="0"/>
      </w:tabs>
      <w:spacing w:line="360" w:lineRule="auto"/>
      <w:ind w:left="3261" w:firstLineChars="0"/>
      <w:jc w:val="left"/>
      <w:outlineLvl w:val="2"/>
    </w:pPr>
    <w:rPr>
      <w:rFonts w:ascii="Times New Roman" w:hAnsi="Times New Roman" w:eastAsia="仿宋" w:cs="Times New Roman"/>
      <w:b/>
      <w:bCs/>
      <w:szCs w:val="30"/>
      <w:lang w:val="zh-CN"/>
    </w:rPr>
  </w:style>
  <w:style w:type="paragraph" w:styleId="5">
    <w:name w:val="heading 4"/>
    <w:basedOn w:val="1"/>
    <w:next w:val="1"/>
    <w:link w:val="19"/>
    <w:semiHidden/>
    <w:unhideWhenUsed/>
    <w:qFormat/>
    <w:uiPriority w:val="0"/>
    <w:pPr>
      <w:numPr>
        <w:ilvl w:val="3"/>
        <w:numId w:val="1"/>
      </w:numPr>
      <w:tabs>
        <w:tab w:val="left" w:pos="0"/>
      </w:tabs>
      <w:spacing w:line="360" w:lineRule="auto"/>
      <w:ind w:left="1418" w:firstLine="0" w:firstLineChars="0"/>
      <w:jc w:val="left"/>
      <w:outlineLvl w:val="3"/>
    </w:pPr>
    <w:rPr>
      <w:b/>
      <w:bCs/>
      <w:szCs w:val="28"/>
    </w:rPr>
  </w:style>
  <w:style w:type="paragraph" w:styleId="6">
    <w:name w:val="heading 5"/>
    <w:basedOn w:val="1"/>
    <w:next w:val="1"/>
    <w:link w:val="20"/>
    <w:semiHidden/>
    <w:unhideWhenUsed/>
    <w:qFormat/>
    <w:uiPriority w:val="0"/>
    <w:pPr>
      <w:keepLines w:val="0"/>
      <w:widowControl/>
      <w:numPr>
        <w:ilvl w:val="4"/>
        <w:numId w:val="1"/>
      </w:numPr>
      <w:tabs>
        <w:tab w:val="left" w:pos="360"/>
        <w:tab w:val="left" w:pos="425"/>
        <w:tab w:val="left" w:pos="709"/>
        <w:tab w:val="left" w:pos="851"/>
        <w:tab w:val="left" w:pos="992"/>
      </w:tabs>
      <w:overflowPunct w:val="0"/>
      <w:autoSpaceDE w:val="0"/>
      <w:autoSpaceDN w:val="0"/>
      <w:adjustRightInd w:val="0"/>
      <w:spacing w:line="240" w:lineRule="auto"/>
      <w:ind w:left="-137" w:firstLine="420" w:firstLineChars="0"/>
      <w:textAlignment w:val="baseline"/>
      <w:outlineLvl w:val="4"/>
    </w:pPr>
    <w:rPr>
      <w:rFonts w:eastAsia="宋体" w:cs="宋体" w:asciiTheme="minorAscii" w:hAnsiTheme="minorAscii"/>
      <w:bCs/>
      <w:sz w:val="24"/>
      <w:szCs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601"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601"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601"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601" w:firstLineChars="0"/>
      <w:outlineLvl w:val="8"/>
    </w:pPr>
    <w:rPr>
      <w:rFonts w:ascii="Arial" w:hAnsi="Arial" w:eastAsia="黑体"/>
      <w:sz w:val="21"/>
    </w:rPr>
  </w:style>
  <w:style w:type="character" w:default="1" w:styleId="15">
    <w:name w:val="Default Paragraph Font"/>
    <w:unhideWhenUsed/>
    <w:qFormat/>
    <w:uiPriority w:val="1"/>
  </w:style>
  <w:style w:type="table" w:default="1" w:styleId="14">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Body Text"/>
    <w:basedOn w:val="1"/>
    <w:qFormat/>
    <w:uiPriority w:val="0"/>
    <w:pPr>
      <w:spacing w:after="120" w:afterLines="0" w:afterAutospacing="0"/>
    </w:pPr>
  </w:style>
  <w:style w:type="paragraph" w:styleId="13">
    <w:name w:val="Body Text First Indent"/>
    <w:basedOn w:val="12"/>
    <w:qFormat/>
    <w:uiPriority w:val="0"/>
    <w:pPr>
      <w:ind w:firstLine="420" w:firstLineChars="100"/>
    </w:pPr>
  </w:style>
  <w:style w:type="character" w:customStyle="1" w:styleId="16">
    <w:name w:val="Heading 2 Char"/>
    <w:basedOn w:val="15"/>
    <w:link w:val="3"/>
    <w:qFormat/>
    <w:locked/>
    <w:uiPriority w:val="99"/>
    <w:rPr>
      <w:rFonts w:ascii="Times New Roman" w:hAnsi="Times New Roman" w:eastAsia="仿宋" w:cs="Times New Roman"/>
      <w:b/>
      <w:sz w:val="28"/>
    </w:rPr>
  </w:style>
  <w:style w:type="character" w:customStyle="1" w:styleId="17">
    <w:name w:val="Heading 1 Char"/>
    <w:basedOn w:val="15"/>
    <w:link w:val="2"/>
    <w:qFormat/>
    <w:locked/>
    <w:uiPriority w:val="99"/>
    <w:rPr>
      <w:rFonts w:ascii="Times New Roman" w:hAnsi="Times New Roman" w:eastAsia="仿宋" w:cs="Times New Roman"/>
      <w:b/>
      <w:kern w:val="44"/>
      <w:sz w:val="36"/>
    </w:rPr>
  </w:style>
  <w:style w:type="character" w:customStyle="1" w:styleId="18">
    <w:name w:val="标题 3 Char1"/>
    <w:link w:val="4"/>
    <w:qFormat/>
    <w:uiPriority w:val="0"/>
    <w:rPr>
      <w:rFonts w:ascii="Times New Roman" w:hAnsi="Times New Roman" w:eastAsia="仿宋" w:cs="Times New Roman"/>
      <w:b/>
      <w:bCs/>
      <w:kern w:val="2"/>
      <w:sz w:val="24"/>
      <w:szCs w:val="28"/>
      <w:lang w:val="en-US" w:eastAsia="zh-CN" w:bidi="ar-SA"/>
    </w:rPr>
  </w:style>
  <w:style w:type="character" w:customStyle="1" w:styleId="19">
    <w:name w:val="标题 4 Char1"/>
    <w:link w:val="5"/>
    <w:qFormat/>
    <w:uiPriority w:val="0"/>
    <w:rPr>
      <w:rFonts w:ascii="Times New Roman" w:hAnsi="Times New Roman" w:eastAsia="仿宋" w:cs="Times New Roman"/>
      <w:b/>
      <w:bCs/>
      <w:kern w:val="2"/>
      <w:sz w:val="24"/>
      <w:szCs w:val="28"/>
      <w:lang w:val="en-US" w:eastAsia="zh-CN" w:bidi="ar-SA"/>
    </w:rPr>
  </w:style>
  <w:style w:type="character" w:customStyle="1" w:styleId="20">
    <w:name w:val="标题 5 Char"/>
    <w:basedOn w:val="15"/>
    <w:link w:val="6"/>
    <w:qFormat/>
    <w:uiPriority w:val="0"/>
    <w:rPr>
      <w:rFonts w:eastAsia="宋体" w:cs="宋体" w:asciiTheme="minorAscii" w:hAnsiTheme="minorAscii"/>
      <w:b/>
      <w:bCs/>
      <w:kern w:val="2"/>
      <w:sz w:val="24"/>
      <w:szCs w:val="28"/>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2025-07-10T08:44:00Z</dcterms:created>
  <dc:creator>淡定</dc:creator>
  <cp:lastModifiedBy>淡定</cp:lastModifiedBy>
  <dcterms:modified xsi:type="dcterms:W3CDTF">2025-07-10T08:47:26Z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D997B2E134A24A078A37A896E238C768_11</vt:lpwstr>
  </property>
  <property fmtid="{D5CDD505-2E9C-101B-9397-08002B2CF9AE}" pid="4" name="KSOTemplateDocerSaveRecord">
    <vt:lpwstr>eyJoZGlkIjoiYjZjMDVmNTg2MDFmY2Q2MDJiMzk5OGVkZjk4ZTE2M2YiLCJ1c2VySWQiOiIyMjAxMDg4MTYifQ==</vt:lpwstr>
  </property>
</Properties>
</file>