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8AB0F">
      <w:pPr>
        <w:jc w:val="center"/>
        <w:outlineLvl w:val="0"/>
        <w:rPr>
          <w:rStyle w:val="9"/>
          <w:rFonts w:hint="eastAsia" w:cs="仿宋" w:asciiTheme="minorEastAsia" w:hAnsiTheme="minorEastAsia"/>
          <w:color w:val="auto"/>
          <w:spacing w:val="0"/>
          <w:sz w:val="36"/>
          <w:szCs w:val="36"/>
          <w:highlight w:val="none"/>
          <w:lang w:eastAsia="zh-CN"/>
        </w:rPr>
      </w:pPr>
    </w:p>
    <w:p w14:paraId="4C61084B">
      <w:pPr>
        <w:jc w:val="center"/>
        <w:outlineLvl w:val="0"/>
        <w:rPr>
          <w:rStyle w:val="9"/>
          <w:rFonts w:hint="eastAsia" w:cs="仿宋" w:asciiTheme="minorEastAsia" w:hAnsiTheme="minorEastAsia"/>
          <w:color w:val="auto"/>
          <w:spacing w:val="0"/>
          <w:sz w:val="36"/>
          <w:szCs w:val="36"/>
          <w:highlight w:val="none"/>
          <w:lang w:eastAsia="zh-CN"/>
        </w:rPr>
      </w:pPr>
    </w:p>
    <w:p w14:paraId="5DDBEFCC">
      <w:pPr>
        <w:jc w:val="center"/>
        <w:outlineLvl w:val="0"/>
        <w:rPr>
          <w:rStyle w:val="9"/>
          <w:rFonts w:hint="eastAsia" w:cs="仿宋" w:asciiTheme="minorEastAsia" w:hAnsiTheme="minorEastAsia"/>
          <w:color w:val="auto"/>
          <w:spacing w:val="0"/>
          <w:sz w:val="36"/>
          <w:szCs w:val="36"/>
          <w:highlight w:val="none"/>
          <w:lang w:eastAsia="zh-CN"/>
        </w:rPr>
      </w:pPr>
    </w:p>
    <w:p w14:paraId="6B8DF94E">
      <w:pPr>
        <w:jc w:val="center"/>
        <w:outlineLvl w:val="0"/>
        <w:rPr>
          <w:rStyle w:val="9"/>
          <w:rFonts w:hint="eastAsia" w:cs="仿宋" w:asciiTheme="minorEastAsia" w:hAnsiTheme="minorEastAsia"/>
          <w:color w:val="auto"/>
          <w:spacing w:val="0"/>
          <w:sz w:val="36"/>
          <w:szCs w:val="36"/>
          <w:highlight w:val="none"/>
          <w:lang w:eastAsia="zh-CN"/>
        </w:rPr>
      </w:pPr>
    </w:p>
    <w:p w14:paraId="4C188EE8">
      <w:pPr>
        <w:jc w:val="center"/>
        <w:outlineLvl w:val="0"/>
        <w:rPr>
          <w:rStyle w:val="9"/>
          <w:rFonts w:hint="eastAsia" w:cs="仿宋" w:asciiTheme="minorEastAsia" w:hAnsiTheme="minorEastAsia"/>
          <w:color w:val="auto"/>
          <w:spacing w:val="0"/>
          <w:sz w:val="36"/>
          <w:szCs w:val="36"/>
          <w:highlight w:val="none"/>
          <w:lang w:eastAsia="zh-CN"/>
        </w:rPr>
      </w:pPr>
    </w:p>
    <w:p w14:paraId="4AE6A43F">
      <w:pPr>
        <w:jc w:val="center"/>
        <w:outlineLvl w:val="0"/>
        <w:rPr>
          <w:rStyle w:val="9"/>
          <w:rFonts w:hint="eastAsia" w:cs="仿宋" w:asciiTheme="minorEastAsia" w:hAnsiTheme="minorEastAsia"/>
          <w:color w:val="auto"/>
          <w:spacing w:val="0"/>
          <w:sz w:val="36"/>
          <w:szCs w:val="36"/>
          <w:highlight w:val="none"/>
          <w:lang w:eastAsia="zh-CN"/>
        </w:rPr>
      </w:pPr>
      <w:r>
        <w:rPr>
          <w:rStyle w:val="9"/>
          <w:rFonts w:hint="eastAsia" w:cs="仿宋" w:asciiTheme="minorEastAsia" w:hAnsiTheme="minorEastAsia"/>
          <w:color w:val="auto"/>
          <w:spacing w:val="0"/>
          <w:sz w:val="36"/>
          <w:szCs w:val="36"/>
          <w:highlight w:val="none"/>
          <w:lang w:eastAsia="zh-CN"/>
        </w:rPr>
        <w:t>西安浐灞国际港2025年度林业综合技术服务项目</w:t>
      </w:r>
    </w:p>
    <w:p w14:paraId="2B389999">
      <w:pPr>
        <w:jc w:val="center"/>
        <w:outlineLvl w:val="0"/>
        <w:rPr>
          <w:rStyle w:val="9"/>
          <w:rFonts w:cs="仿宋" w:asciiTheme="minorEastAsia" w:hAnsiTheme="minorEastAsia" w:eastAsiaTheme="minorEastAsia"/>
          <w:color w:val="auto"/>
          <w:spacing w:val="0"/>
          <w:sz w:val="28"/>
          <w:highlight w:val="none"/>
        </w:rPr>
      </w:pPr>
      <w:bookmarkStart w:id="3" w:name="_GoBack"/>
      <w:bookmarkEnd w:id="3"/>
      <w:r>
        <w:rPr>
          <w:rStyle w:val="9"/>
          <w:rFonts w:hint="eastAsia" w:cs="仿宋" w:asciiTheme="minorEastAsia" w:hAnsiTheme="minorEastAsia"/>
          <w:color w:val="auto"/>
          <w:spacing w:val="0"/>
          <w:sz w:val="36"/>
          <w:szCs w:val="36"/>
          <w:highlight w:val="none"/>
        </w:rPr>
        <w:t>合同</w:t>
      </w:r>
    </w:p>
    <w:p w14:paraId="4E2B3055">
      <w:pPr>
        <w:jc w:val="center"/>
        <w:outlineLvl w:val="0"/>
        <w:rPr>
          <w:rStyle w:val="9"/>
          <w:rFonts w:cs="仿宋" w:asciiTheme="minorEastAsia" w:hAnsiTheme="minorEastAsia" w:eastAsiaTheme="minorEastAsia"/>
          <w:color w:val="auto"/>
          <w:spacing w:val="0"/>
          <w:sz w:val="32"/>
          <w:highlight w:val="none"/>
        </w:rPr>
      </w:pPr>
      <w:r>
        <w:rPr>
          <w:rStyle w:val="9"/>
          <w:rFonts w:hint="eastAsia" w:cs="仿宋" w:asciiTheme="minorEastAsia" w:hAnsiTheme="minorEastAsia" w:eastAsiaTheme="minorEastAsia"/>
          <w:color w:val="auto"/>
          <w:spacing w:val="0"/>
          <w:sz w:val="28"/>
          <w:highlight w:val="none"/>
        </w:rPr>
        <w:t>（拟签订的合同</w:t>
      </w:r>
      <w:bookmarkStart w:id="0" w:name="_Hlt487972895"/>
      <w:bookmarkEnd w:id="0"/>
      <w:bookmarkStart w:id="1" w:name="_Toc487900382"/>
      <w:bookmarkStart w:id="2" w:name="_Toc216513788"/>
      <w:r>
        <w:rPr>
          <w:rStyle w:val="9"/>
          <w:rFonts w:hint="eastAsia" w:cs="仿宋" w:asciiTheme="minorEastAsia" w:hAnsiTheme="minorEastAsia" w:eastAsiaTheme="minorEastAsia"/>
          <w:color w:val="auto"/>
          <w:spacing w:val="0"/>
          <w:sz w:val="28"/>
          <w:highlight w:val="none"/>
        </w:rPr>
        <w:t>文本）</w:t>
      </w:r>
    </w:p>
    <w:bookmarkEnd w:id="1"/>
    <w:bookmarkEnd w:id="2"/>
    <w:p w14:paraId="548337E1">
      <w:pPr>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br w:type="page"/>
      </w:r>
    </w:p>
    <w:p w14:paraId="2B3B2382">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甲方（采购人）：</w:t>
      </w:r>
      <w:r>
        <w:rPr>
          <w:rFonts w:hint="eastAsia" w:cs="宋体" w:asciiTheme="minorEastAsia" w:hAnsiTheme="minorEastAsia"/>
          <w:color w:val="auto"/>
          <w:spacing w:val="0"/>
          <w:sz w:val="24"/>
          <w:szCs w:val="24"/>
          <w:highlight w:val="none"/>
          <w:u w:val="single"/>
        </w:rPr>
        <w:t xml:space="preserve">                                         </w:t>
      </w:r>
    </w:p>
    <w:p w14:paraId="383C91B9">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乙方（供应商）：</w:t>
      </w:r>
      <w:r>
        <w:rPr>
          <w:rFonts w:hint="eastAsia" w:cs="宋体" w:asciiTheme="minorEastAsia" w:hAnsiTheme="minorEastAsia"/>
          <w:color w:val="auto"/>
          <w:spacing w:val="0"/>
          <w:sz w:val="24"/>
          <w:szCs w:val="24"/>
          <w:highlight w:val="none"/>
          <w:u w:val="single"/>
        </w:rPr>
        <w:t xml:space="preserve">                                         </w:t>
      </w:r>
    </w:p>
    <w:p w14:paraId="271E4711">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根据《中华人民共和国民法典》及其他有关法律、法规，遵循平等、自愿、公平和诚信的原则，双方就下述项目范围与相关服务事项协商一致，订立本合同。</w:t>
      </w:r>
    </w:p>
    <w:p w14:paraId="0B6BBF8B">
      <w:pPr>
        <w:spacing w:line="360" w:lineRule="auto"/>
        <w:ind w:firstLine="200"/>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一、项目概况</w:t>
      </w:r>
    </w:p>
    <w:p w14:paraId="519A6BD2">
      <w:pPr>
        <w:spacing w:line="360" w:lineRule="auto"/>
        <w:ind w:firstLine="489" w:firstLineChars="204"/>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1.项目名称：</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p>
    <w:p w14:paraId="3C860393">
      <w:pPr>
        <w:spacing w:line="360" w:lineRule="auto"/>
        <w:ind w:firstLine="489" w:firstLineChars="204"/>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2.项目地点：甲方指定地点。</w:t>
      </w:r>
    </w:p>
    <w:p w14:paraId="20445E6E">
      <w:pPr>
        <w:spacing w:line="360" w:lineRule="auto"/>
        <w:ind w:firstLine="489" w:firstLineChars="204"/>
        <w:rPr>
          <w:rFonts w:hint="default" w:cs="宋体" w:asciiTheme="minorEastAsia" w:hAnsiTheme="minorEastAsia" w:eastAsiaTheme="minorEastAsia"/>
          <w:color w:val="auto"/>
          <w:spacing w:val="0"/>
          <w:sz w:val="24"/>
          <w:szCs w:val="24"/>
          <w:highlight w:val="none"/>
          <w:lang w:val="en-US" w:eastAsia="zh-CN"/>
        </w:rPr>
      </w:pPr>
      <w:r>
        <w:rPr>
          <w:rFonts w:hint="eastAsia" w:cs="宋体" w:asciiTheme="minorEastAsia" w:hAnsiTheme="minorEastAsia"/>
          <w:color w:val="auto"/>
          <w:spacing w:val="0"/>
          <w:sz w:val="24"/>
          <w:szCs w:val="24"/>
          <w:highlight w:val="none"/>
        </w:rPr>
        <w:t>3.项目目标：</w:t>
      </w:r>
      <w:r>
        <w:rPr>
          <w:rFonts w:hint="eastAsia" w:cs="宋体" w:asciiTheme="minorEastAsia" w:hAnsiTheme="minorEastAsia"/>
          <w:color w:val="auto"/>
          <w:spacing w:val="0"/>
          <w:sz w:val="24"/>
          <w:szCs w:val="24"/>
          <w:highlight w:val="none"/>
          <w:u w:val="single"/>
          <w:lang w:val="en-US" w:eastAsia="zh-CN"/>
        </w:rPr>
        <w:t xml:space="preserve">              </w:t>
      </w:r>
      <w:r>
        <w:rPr>
          <w:rFonts w:hint="eastAsia" w:cs="宋体" w:asciiTheme="minorEastAsia" w:hAnsiTheme="minorEastAsia"/>
          <w:color w:val="auto"/>
          <w:spacing w:val="0"/>
          <w:sz w:val="24"/>
          <w:szCs w:val="24"/>
          <w:highlight w:val="none"/>
          <w:u w:val="none"/>
          <w:lang w:val="en-US" w:eastAsia="zh-CN"/>
        </w:rPr>
        <w:t>。</w:t>
      </w:r>
    </w:p>
    <w:p w14:paraId="7850A9F9">
      <w:pPr>
        <w:spacing w:line="360" w:lineRule="auto"/>
        <w:ind w:firstLine="200"/>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二、组成本合同的文件</w:t>
      </w:r>
    </w:p>
    <w:p w14:paraId="3C458B3C">
      <w:pPr>
        <w:spacing w:line="360" w:lineRule="auto"/>
        <w:ind w:firstLine="489" w:firstLineChars="204"/>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1.协议书；</w:t>
      </w:r>
    </w:p>
    <w:p w14:paraId="26DF8F1D">
      <w:pPr>
        <w:spacing w:line="360" w:lineRule="auto"/>
        <w:ind w:firstLine="489" w:firstLineChars="204"/>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2.中标通知书、投标文件、澄清、补充文件(或委托书)；</w:t>
      </w:r>
    </w:p>
    <w:p w14:paraId="76379D75">
      <w:pPr>
        <w:spacing w:line="360" w:lineRule="auto"/>
        <w:ind w:firstLine="489" w:firstLineChars="204"/>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3.相关服务建议书；</w:t>
      </w:r>
    </w:p>
    <w:p w14:paraId="30086D65">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4.附录，即：附表内相关服务的范围和内容；</w:t>
      </w:r>
    </w:p>
    <w:p w14:paraId="3AADAA69">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本合同签订后，双方依法签订的补充协议也是本合同文件的组成部分。</w:t>
      </w:r>
    </w:p>
    <w:p w14:paraId="3C566E3B">
      <w:pPr>
        <w:spacing w:line="360" w:lineRule="auto"/>
        <w:ind w:firstLine="200"/>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三、合同价款</w:t>
      </w:r>
    </w:p>
    <w:p w14:paraId="3E7571CD">
      <w:pPr>
        <w:spacing w:line="360" w:lineRule="auto"/>
        <w:ind w:firstLine="480" w:firstLineChars="200"/>
        <w:rPr>
          <w:rFonts w:hint="eastAsia"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合同</w:t>
      </w:r>
      <w:r>
        <w:rPr>
          <w:rFonts w:hint="eastAsia" w:cs="宋体" w:asciiTheme="minorEastAsia" w:hAnsiTheme="minorEastAsia"/>
          <w:color w:val="auto"/>
          <w:spacing w:val="0"/>
          <w:sz w:val="24"/>
          <w:szCs w:val="24"/>
          <w:highlight w:val="none"/>
          <w:lang w:val="en-US" w:eastAsia="zh-CN"/>
        </w:rPr>
        <w:t>暂定</w:t>
      </w:r>
      <w:r>
        <w:rPr>
          <w:rFonts w:hint="eastAsia" w:cs="宋体" w:asciiTheme="minorEastAsia" w:hAnsiTheme="minorEastAsia"/>
          <w:color w:val="auto"/>
          <w:spacing w:val="0"/>
          <w:sz w:val="24"/>
          <w:szCs w:val="24"/>
          <w:highlight w:val="none"/>
        </w:rPr>
        <w:t>总金额(大写)：</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p>
    <w:p w14:paraId="05F790E9">
      <w:pPr>
        <w:spacing w:line="360" w:lineRule="auto"/>
        <w:ind w:firstLine="480" w:firstLineChars="200"/>
        <w:rPr>
          <w:rFonts w:hint="default" w:cs="宋体" w:asciiTheme="minorEastAsia" w:hAnsiTheme="minorEastAsia" w:eastAsiaTheme="minorEastAsia"/>
          <w:b/>
          <w:bCs/>
          <w:color w:val="auto"/>
          <w:spacing w:val="0"/>
          <w:sz w:val="24"/>
          <w:szCs w:val="24"/>
          <w:highlight w:val="none"/>
          <w:lang w:val="en-US" w:eastAsia="zh-CN"/>
        </w:rPr>
      </w:pPr>
      <w:r>
        <w:rPr>
          <w:rFonts w:hint="eastAsia" w:cs="宋体" w:asciiTheme="minorEastAsia" w:hAnsiTheme="minorEastAsia"/>
          <w:color w:val="auto"/>
          <w:spacing w:val="0"/>
          <w:sz w:val="24"/>
          <w:szCs w:val="24"/>
          <w:highlight w:val="none"/>
        </w:rPr>
        <w:t>本合同为</w:t>
      </w:r>
      <w:r>
        <w:rPr>
          <w:rFonts w:hint="eastAsia" w:cs="宋体" w:asciiTheme="minorEastAsia" w:hAnsiTheme="minorEastAsia"/>
          <w:b/>
          <w:color w:val="auto"/>
          <w:spacing w:val="0"/>
          <w:sz w:val="24"/>
          <w:szCs w:val="24"/>
          <w:highlight w:val="none"/>
          <w:u w:val="single"/>
        </w:rPr>
        <w:t>固定</w:t>
      </w:r>
      <w:r>
        <w:rPr>
          <w:rFonts w:hint="eastAsia" w:cs="宋体" w:asciiTheme="minorEastAsia" w:hAnsiTheme="minorEastAsia"/>
          <w:b/>
          <w:color w:val="auto"/>
          <w:spacing w:val="0"/>
          <w:sz w:val="24"/>
          <w:szCs w:val="24"/>
          <w:highlight w:val="none"/>
          <w:u w:val="single"/>
          <w:lang w:val="en-US" w:eastAsia="zh-CN"/>
        </w:rPr>
        <w:t>单</w:t>
      </w:r>
      <w:r>
        <w:rPr>
          <w:rFonts w:hint="eastAsia" w:cs="宋体" w:asciiTheme="minorEastAsia" w:hAnsiTheme="minorEastAsia"/>
          <w:b/>
          <w:color w:val="auto"/>
          <w:spacing w:val="0"/>
          <w:sz w:val="24"/>
          <w:szCs w:val="24"/>
          <w:highlight w:val="none"/>
          <w:u w:val="single"/>
        </w:rPr>
        <w:t>价</w:t>
      </w:r>
      <w:r>
        <w:rPr>
          <w:rFonts w:hint="eastAsia" w:cs="宋体" w:asciiTheme="minorEastAsia" w:hAnsiTheme="minorEastAsia"/>
          <w:color w:val="auto"/>
          <w:spacing w:val="0"/>
          <w:sz w:val="24"/>
          <w:szCs w:val="24"/>
          <w:highlight w:val="none"/>
        </w:rPr>
        <w:t>合同,是完成本次招标所要求内容且验收合格的所有费用,包括人工费、监测费、防治费、宣传费、保险、税金、管理费、设备材料购置费、招标代理服务费等其他一切相关费用。</w:t>
      </w:r>
    </w:p>
    <w:p w14:paraId="11B1D240">
      <w:pPr>
        <w:spacing w:line="360" w:lineRule="auto"/>
        <w:ind w:firstLine="200"/>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四、付款方式</w:t>
      </w:r>
    </w:p>
    <w:p w14:paraId="462DC841">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1.付款比例：</w:t>
      </w:r>
    </w:p>
    <w:p w14:paraId="031F6855">
      <w:pPr>
        <w:spacing w:line="360" w:lineRule="auto"/>
        <w:ind w:firstLine="480" w:firstLineChars="200"/>
        <w:rPr>
          <w:rFonts w:hint="default" w:cs="宋体" w:asciiTheme="minorEastAsia" w:hAnsiTheme="minorEastAsia" w:eastAsiaTheme="minorEastAsia"/>
          <w:color w:val="auto"/>
          <w:spacing w:val="0"/>
          <w:sz w:val="24"/>
          <w:szCs w:val="24"/>
          <w:highlight w:val="none"/>
          <w:lang w:val="en-US" w:eastAsia="zh-CN"/>
        </w:rPr>
      </w:pPr>
      <w:r>
        <w:rPr>
          <w:rFonts w:hint="default" w:cs="宋体" w:asciiTheme="minorEastAsia" w:hAnsiTheme="minorEastAsia" w:eastAsiaTheme="minorEastAsia"/>
          <w:color w:val="auto"/>
          <w:spacing w:val="0"/>
          <w:sz w:val="24"/>
          <w:szCs w:val="24"/>
          <w:highlight w:val="none"/>
          <w:lang w:val="en-US" w:eastAsia="zh-CN"/>
        </w:rPr>
        <w:t>本项目无预付款，2025年10月底前，依据实际服务内容据实结算相应金额，达到付款条件起30日内，支付合同总金额的50%。</w:t>
      </w:r>
    </w:p>
    <w:p w14:paraId="1853E3DC">
      <w:pPr>
        <w:spacing w:line="360" w:lineRule="auto"/>
        <w:ind w:firstLine="480" w:firstLineChars="200"/>
        <w:rPr>
          <w:rFonts w:hint="default" w:cs="宋体" w:asciiTheme="minorEastAsia" w:hAnsiTheme="minorEastAsia" w:eastAsiaTheme="minorEastAsia"/>
          <w:color w:val="auto"/>
          <w:spacing w:val="0"/>
          <w:sz w:val="24"/>
          <w:szCs w:val="24"/>
          <w:highlight w:val="none"/>
          <w:lang w:val="en-US" w:eastAsia="zh-CN"/>
        </w:rPr>
      </w:pPr>
      <w:r>
        <w:rPr>
          <w:rFonts w:hint="default" w:cs="宋体" w:asciiTheme="minorEastAsia" w:hAnsiTheme="minorEastAsia" w:eastAsiaTheme="minorEastAsia"/>
          <w:color w:val="auto"/>
          <w:spacing w:val="0"/>
          <w:sz w:val="24"/>
          <w:szCs w:val="24"/>
          <w:highlight w:val="none"/>
          <w:lang w:val="en-US" w:eastAsia="zh-CN"/>
        </w:rPr>
        <w:t>服务期结束且甲方验收合格后，依据实际服务内容据实结算剩余价款，达到付款条件起30日内，支付</w:t>
      </w:r>
      <w:r>
        <w:rPr>
          <w:rFonts w:hint="eastAsia" w:cs="宋体" w:asciiTheme="minorEastAsia" w:hAnsiTheme="minorEastAsia"/>
          <w:color w:val="auto"/>
          <w:spacing w:val="0"/>
          <w:sz w:val="24"/>
          <w:szCs w:val="24"/>
          <w:highlight w:val="none"/>
          <w:lang w:val="en-US" w:eastAsia="zh-CN"/>
        </w:rPr>
        <w:t>剩余合同价款</w:t>
      </w:r>
      <w:r>
        <w:rPr>
          <w:rFonts w:hint="default" w:cs="宋体" w:asciiTheme="minorEastAsia" w:hAnsiTheme="minorEastAsia" w:eastAsiaTheme="minorEastAsia"/>
          <w:color w:val="auto"/>
          <w:spacing w:val="0"/>
          <w:sz w:val="24"/>
          <w:szCs w:val="24"/>
          <w:highlight w:val="none"/>
          <w:lang w:val="en-US" w:eastAsia="zh-CN"/>
        </w:rPr>
        <w:t>。</w:t>
      </w:r>
    </w:p>
    <w:p w14:paraId="195C98B7">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2.支付方式：银行对公转账。</w:t>
      </w:r>
    </w:p>
    <w:p w14:paraId="26AC1554">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3.乙方账户信息如下：</w:t>
      </w:r>
    </w:p>
    <w:p w14:paraId="323C4BA8">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账户名称：</w:t>
      </w:r>
    </w:p>
    <w:p w14:paraId="0AFC0543">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账户：</w:t>
      </w:r>
    </w:p>
    <w:p w14:paraId="67CEE361">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开户行：</w:t>
      </w:r>
    </w:p>
    <w:p w14:paraId="0BA4C11D">
      <w:pPr>
        <w:pStyle w:val="6"/>
        <w:spacing w:beforeAutospacing="0" w:afterAutospacing="0"/>
        <w:ind w:firstLine="480" w:firstLineChars="200"/>
        <w:jc w:val="both"/>
        <w:rPr>
          <w:rFonts w:hint="eastAsia" w:cs="宋体" w:asciiTheme="minorEastAsia" w:hAnsiTheme="minorEastAsia" w:eastAsiaTheme="minorEastAsia"/>
          <w:b/>
          <w:bCs/>
          <w:color w:val="auto"/>
          <w:spacing w:val="0"/>
          <w:szCs w:val="24"/>
          <w:highlight w:val="none"/>
        </w:rPr>
      </w:pPr>
      <w:r>
        <w:rPr>
          <w:rFonts w:hint="eastAsia" w:cs="宋体" w:asciiTheme="minorEastAsia" w:hAnsiTheme="minorEastAsia" w:eastAsiaTheme="minorEastAsia"/>
          <w:b w:val="0"/>
          <w:bCs w:val="0"/>
          <w:color w:val="auto"/>
          <w:spacing w:val="0"/>
          <w:szCs w:val="24"/>
          <w:highlight w:val="none"/>
        </w:rPr>
        <w:t>4.结算单位：甲方负责结算，在付款前，必须开具等额发票给甲方。</w:t>
      </w:r>
    </w:p>
    <w:p w14:paraId="5171616D">
      <w:pPr>
        <w:pStyle w:val="6"/>
        <w:spacing w:beforeAutospacing="0" w:afterAutospacing="0"/>
        <w:jc w:val="both"/>
        <w:rPr>
          <w:rFonts w:cs="宋体" w:asciiTheme="minorEastAsia" w:hAnsiTheme="minorEastAsia" w:eastAsiaTheme="minorEastAsia"/>
          <w:color w:val="auto"/>
          <w:spacing w:val="0"/>
          <w:szCs w:val="24"/>
          <w:highlight w:val="none"/>
        </w:rPr>
      </w:pPr>
      <w:r>
        <w:rPr>
          <w:rFonts w:hint="eastAsia" w:cs="宋体" w:asciiTheme="minorEastAsia" w:hAnsiTheme="minorEastAsia" w:eastAsiaTheme="minorEastAsia"/>
          <w:b/>
          <w:bCs/>
          <w:color w:val="auto"/>
          <w:spacing w:val="0"/>
          <w:szCs w:val="24"/>
          <w:highlight w:val="none"/>
        </w:rPr>
        <w:t>五、服务期</w:t>
      </w:r>
    </w:p>
    <w:p w14:paraId="2B5D7171">
      <w:pPr>
        <w:pStyle w:val="6"/>
        <w:spacing w:beforeAutospacing="0" w:afterAutospacing="0"/>
        <w:ind w:firstLine="480" w:firstLineChars="200"/>
        <w:jc w:val="both"/>
        <w:rPr>
          <w:rFonts w:hint="eastAsia" w:cs="宋体" w:asciiTheme="minorEastAsia" w:hAnsiTheme="minorEastAsia" w:eastAsiaTheme="minorEastAsia"/>
          <w:color w:val="auto"/>
          <w:spacing w:val="0"/>
          <w:szCs w:val="24"/>
          <w:highlight w:val="none"/>
          <w:lang w:eastAsia="zh-CN"/>
        </w:rPr>
      </w:pPr>
      <w:r>
        <w:rPr>
          <w:rFonts w:hint="eastAsia" w:cs="宋体" w:asciiTheme="minorEastAsia" w:hAnsiTheme="minorEastAsia" w:eastAsiaTheme="minorEastAsia"/>
          <w:color w:val="auto"/>
          <w:spacing w:val="0"/>
          <w:szCs w:val="24"/>
          <w:highlight w:val="none"/>
        </w:rPr>
        <w:t>自合同签订之日起至202</w:t>
      </w:r>
      <w:r>
        <w:rPr>
          <w:rFonts w:hint="eastAsia" w:cs="宋体" w:asciiTheme="minorEastAsia" w:hAnsiTheme="minorEastAsia" w:eastAsiaTheme="minorEastAsia"/>
          <w:color w:val="auto"/>
          <w:spacing w:val="0"/>
          <w:szCs w:val="24"/>
          <w:highlight w:val="none"/>
          <w:lang w:val="en-US" w:eastAsia="zh-CN"/>
        </w:rPr>
        <w:t>6</w:t>
      </w:r>
      <w:r>
        <w:rPr>
          <w:rFonts w:hint="eastAsia" w:cs="宋体" w:asciiTheme="minorEastAsia" w:hAnsiTheme="minorEastAsia" w:eastAsiaTheme="minorEastAsia"/>
          <w:color w:val="auto"/>
          <w:spacing w:val="0"/>
          <w:szCs w:val="24"/>
          <w:highlight w:val="none"/>
        </w:rPr>
        <w:t>年</w:t>
      </w:r>
      <w:r>
        <w:rPr>
          <w:rFonts w:hint="eastAsia" w:cs="宋体" w:asciiTheme="minorEastAsia" w:hAnsiTheme="minorEastAsia" w:eastAsiaTheme="minorEastAsia"/>
          <w:color w:val="auto"/>
          <w:spacing w:val="0"/>
          <w:szCs w:val="24"/>
          <w:highlight w:val="none"/>
          <w:lang w:val="en-US" w:eastAsia="zh-CN"/>
        </w:rPr>
        <w:t>02</w:t>
      </w:r>
      <w:r>
        <w:rPr>
          <w:rFonts w:hint="eastAsia" w:cs="宋体" w:asciiTheme="minorEastAsia" w:hAnsiTheme="minorEastAsia" w:eastAsiaTheme="minorEastAsia"/>
          <w:color w:val="auto"/>
          <w:spacing w:val="0"/>
          <w:szCs w:val="24"/>
          <w:highlight w:val="none"/>
        </w:rPr>
        <w:t>月</w:t>
      </w:r>
      <w:r>
        <w:rPr>
          <w:rFonts w:hint="eastAsia" w:cs="宋体" w:asciiTheme="minorEastAsia" w:hAnsiTheme="minorEastAsia" w:eastAsiaTheme="minorEastAsia"/>
          <w:color w:val="auto"/>
          <w:spacing w:val="0"/>
          <w:szCs w:val="24"/>
          <w:highlight w:val="none"/>
          <w:lang w:val="en-US" w:eastAsia="zh-CN"/>
        </w:rPr>
        <w:t>28日</w:t>
      </w:r>
      <w:r>
        <w:rPr>
          <w:rFonts w:hint="eastAsia" w:cs="宋体" w:asciiTheme="minorEastAsia" w:hAnsiTheme="minorEastAsia" w:eastAsiaTheme="minorEastAsia"/>
          <w:color w:val="auto"/>
          <w:spacing w:val="0"/>
          <w:szCs w:val="24"/>
          <w:highlight w:val="none"/>
        </w:rPr>
        <w:t>止</w:t>
      </w:r>
      <w:r>
        <w:rPr>
          <w:rFonts w:hint="eastAsia" w:cs="宋体" w:asciiTheme="minorEastAsia" w:hAnsiTheme="minorEastAsia" w:eastAsiaTheme="minorEastAsia"/>
          <w:color w:val="auto"/>
          <w:spacing w:val="0"/>
          <w:szCs w:val="24"/>
          <w:highlight w:val="none"/>
          <w:lang w:eastAsia="zh-CN"/>
        </w:rPr>
        <w:t>。</w:t>
      </w:r>
    </w:p>
    <w:p w14:paraId="06BE1FC3">
      <w:pPr>
        <w:spacing w:line="360" w:lineRule="auto"/>
        <w:rPr>
          <w:rFonts w:cs="宋体" w:asciiTheme="minorEastAsia" w:hAnsiTheme="minorEastAsia"/>
          <w:color w:val="auto"/>
          <w:spacing w:val="0"/>
          <w:sz w:val="24"/>
          <w:szCs w:val="24"/>
          <w:highlight w:val="none"/>
          <w:u w:val="none"/>
        </w:rPr>
      </w:pPr>
      <w:r>
        <w:rPr>
          <w:rFonts w:hint="eastAsia" w:cs="宋体" w:asciiTheme="minorEastAsia" w:hAnsiTheme="minorEastAsia"/>
          <w:b/>
          <w:bCs/>
          <w:color w:val="auto"/>
          <w:spacing w:val="0"/>
          <w:sz w:val="24"/>
          <w:szCs w:val="24"/>
          <w:highlight w:val="none"/>
        </w:rPr>
        <w:t>六、委托内容</w:t>
      </w:r>
    </w:p>
    <w:p w14:paraId="20E0FB52">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1.林业有害生物监测普查和防控</w:t>
      </w:r>
    </w:p>
    <w:p w14:paraId="113673D5">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2.检疫复检</w:t>
      </w:r>
    </w:p>
    <w:p w14:paraId="7D714C26">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3.陆生野生动物保护与疫源疫病监测</w:t>
      </w:r>
    </w:p>
    <w:p w14:paraId="031C4704">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4.湿地资源监测保护</w:t>
      </w:r>
    </w:p>
    <w:p w14:paraId="34E4C324">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5.林地防火巡查</w:t>
      </w:r>
    </w:p>
    <w:p w14:paraId="39E65EB2">
      <w:pPr>
        <w:spacing w:line="360" w:lineRule="auto"/>
        <w:ind w:firstLine="480" w:firstLineChars="200"/>
        <w:rPr>
          <w:rFonts w:hint="eastAsia" w:cs="宋体" w:asciiTheme="minorEastAsia" w:hAnsiTheme="minorEastAsia"/>
          <w:b/>
          <w:bCs/>
          <w:color w:val="auto"/>
          <w:spacing w:val="0"/>
          <w:sz w:val="24"/>
          <w:szCs w:val="24"/>
          <w:highlight w:val="none"/>
        </w:rPr>
      </w:pPr>
      <w:r>
        <w:rPr>
          <w:rFonts w:hint="eastAsia" w:cs="宋体" w:asciiTheme="minorEastAsia" w:hAnsiTheme="minorEastAsia"/>
          <w:b w:val="0"/>
          <w:bCs w:val="0"/>
          <w:color w:val="auto"/>
          <w:spacing w:val="0"/>
          <w:sz w:val="24"/>
          <w:szCs w:val="24"/>
          <w:highlight w:val="none"/>
        </w:rPr>
        <w:t>6.古树名木巡查监测</w:t>
      </w:r>
    </w:p>
    <w:p w14:paraId="5521DDD4">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七、项目目标</w:t>
      </w:r>
    </w:p>
    <w:p w14:paraId="54903951">
      <w:pPr>
        <w:pStyle w:val="4"/>
        <w:spacing w:line="360" w:lineRule="auto"/>
        <w:ind w:firstLine="480"/>
        <w:jc w:val="both"/>
        <w:rPr>
          <w:rFonts w:hint="eastAsia"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（一）总体目标</w:t>
      </w:r>
    </w:p>
    <w:p w14:paraId="08E3F041">
      <w:pPr>
        <w:pStyle w:val="4"/>
        <w:spacing w:line="360" w:lineRule="auto"/>
        <w:ind w:firstLine="480"/>
        <w:jc w:val="both"/>
        <w:rPr>
          <w:rFonts w:hint="eastAsia"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全面提升浐灞国际港林业管理、服务能力，强化生态重大有害生物监测预警与防控能力，优化陆生野生动物保护及湿地资源管理，构建科学高效的林业生态安全防护体系，实现林业资源可持续发展，推动区域生态环境质量显著提升。</w:t>
      </w:r>
    </w:p>
    <w:p w14:paraId="4DAC4C36">
      <w:pPr>
        <w:pStyle w:val="4"/>
        <w:spacing w:line="360" w:lineRule="auto"/>
        <w:ind w:firstLine="480"/>
        <w:jc w:val="both"/>
        <w:rPr>
          <w:rFonts w:hint="eastAsia"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（二）具体指标</w:t>
      </w:r>
    </w:p>
    <w:p w14:paraId="44D7453A">
      <w:pPr>
        <w:pStyle w:val="4"/>
        <w:spacing w:line="360" w:lineRule="auto"/>
        <w:ind w:firstLine="480"/>
        <w:jc w:val="both"/>
        <w:rPr>
          <w:rFonts w:hint="eastAsia"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1.林业有害生物监测、普查覆盖率达100%，林业有害生物成灾率小于等于4‰，重大林业有害生物防治率≥95%。</w:t>
      </w:r>
    </w:p>
    <w:p w14:paraId="0144AE9D">
      <w:pPr>
        <w:pStyle w:val="4"/>
        <w:spacing w:line="360" w:lineRule="auto"/>
        <w:ind w:firstLine="480"/>
        <w:jc w:val="both"/>
        <w:rPr>
          <w:rFonts w:hint="eastAsia"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2.调入苗木落地复检率100%，调出办证涉木产品现场检疫核查率100%。</w:t>
      </w:r>
    </w:p>
    <w:p w14:paraId="73CCC57F">
      <w:pPr>
        <w:pStyle w:val="4"/>
        <w:spacing w:line="360" w:lineRule="auto"/>
        <w:ind w:firstLine="480"/>
        <w:jc w:val="both"/>
        <w:rPr>
          <w:rFonts w:hint="eastAsia"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3.疫源疫病监测信息及时上报率达100%，陆生野生动物救助当日完成所有程序。</w:t>
      </w:r>
    </w:p>
    <w:p w14:paraId="658F5746">
      <w:pPr>
        <w:pStyle w:val="4"/>
        <w:spacing w:line="360" w:lineRule="auto"/>
        <w:ind w:firstLine="480"/>
        <w:jc w:val="both"/>
        <w:rPr>
          <w:rFonts w:asciiTheme="minorEastAsia" w:hAnsiTheme="minorEastAsia" w:eastAsiaTheme="minorEastAsia"/>
          <w:color w:val="auto"/>
          <w:spacing w:val="0"/>
          <w:sz w:val="24"/>
          <w:highlight w:val="none"/>
        </w:rPr>
      </w:pPr>
      <w:r>
        <w:rPr>
          <w:rFonts w:hint="eastAsia" w:asciiTheme="minorEastAsia" w:hAnsiTheme="minorEastAsia" w:eastAsiaTheme="minorEastAsia"/>
          <w:color w:val="auto"/>
          <w:spacing w:val="0"/>
          <w:sz w:val="24"/>
          <w:highlight w:val="none"/>
        </w:rPr>
        <w:t>4.陆生野生动物保护与疫源疫病监测巡查、湿地资源监测保护巡查、林地防火巡查每周3次，做到及时发现及时上报，并处置，处置率达100%，满意度95分以上，并定期在宣传周进行宣传有关法规制度</w:t>
      </w:r>
    </w:p>
    <w:p w14:paraId="4CAF10EA">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八、质量保证</w:t>
      </w:r>
    </w:p>
    <w:p w14:paraId="2CC9F67F">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1</w:t>
      </w:r>
      <w:r>
        <w:rPr>
          <w:rFonts w:hint="eastAsia" w:cs="宋体" w:asciiTheme="minorEastAsia" w:hAnsiTheme="minorEastAsia"/>
          <w:b w:val="0"/>
          <w:bCs w:val="0"/>
          <w:color w:val="auto"/>
          <w:spacing w:val="0"/>
          <w:sz w:val="24"/>
          <w:szCs w:val="24"/>
          <w:highlight w:val="none"/>
          <w:lang w:val="en-US" w:eastAsia="zh-CN"/>
        </w:rPr>
        <w:t>.</w:t>
      </w:r>
      <w:r>
        <w:rPr>
          <w:rFonts w:hint="eastAsia" w:cs="宋体" w:asciiTheme="minorEastAsia" w:hAnsiTheme="minorEastAsia"/>
          <w:b w:val="0"/>
          <w:bCs w:val="0"/>
          <w:color w:val="auto"/>
          <w:spacing w:val="0"/>
          <w:sz w:val="24"/>
          <w:szCs w:val="24"/>
          <w:highlight w:val="none"/>
        </w:rPr>
        <w:t>安全服务应符合国家有关规范。</w:t>
      </w:r>
    </w:p>
    <w:p w14:paraId="41E3F511">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rPr>
        <w:t>2</w:t>
      </w:r>
      <w:r>
        <w:rPr>
          <w:rFonts w:hint="eastAsia" w:cs="宋体" w:asciiTheme="minorEastAsia" w:hAnsiTheme="minorEastAsia"/>
          <w:b w:val="0"/>
          <w:bCs w:val="0"/>
          <w:color w:val="auto"/>
          <w:spacing w:val="0"/>
          <w:sz w:val="24"/>
          <w:szCs w:val="24"/>
          <w:highlight w:val="none"/>
          <w:lang w:val="en-US" w:eastAsia="zh-CN"/>
        </w:rPr>
        <w:t>.乙方</w:t>
      </w:r>
      <w:r>
        <w:rPr>
          <w:rFonts w:hint="eastAsia" w:cs="宋体" w:asciiTheme="minorEastAsia" w:hAnsiTheme="minorEastAsia"/>
          <w:b w:val="0"/>
          <w:bCs w:val="0"/>
          <w:color w:val="auto"/>
          <w:spacing w:val="0"/>
          <w:sz w:val="24"/>
          <w:szCs w:val="24"/>
          <w:highlight w:val="none"/>
        </w:rPr>
        <w:t>应根据服务方案规范及服务质量要求进行服务工作，</w:t>
      </w:r>
      <w:r>
        <w:rPr>
          <w:rFonts w:hint="eastAsia" w:cs="宋体" w:asciiTheme="minorEastAsia" w:hAnsiTheme="minorEastAsia"/>
          <w:b w:val="0"/>
          <w:bCs w:val="0"/>
          <w:color w:val="auto"/>
          <w:spacing w:val="0"/>
          <w:sz w:val="24"/>
          <w:szCs w:val="24"/>
          <w:highlight w:val="none"/>
          <w:lang w:val="en-US" w:eastAsia="zh-CN"/>
        </w:rPr>
        <w:t>甲方</w:t>
      </w:r>
      <w:r>
        <w:rPr>
          <w:rFonts w:hint="eastAsia" w:cs="宋体" w:asciiTheme="minorEastAsia" w:hAnsiTheme="minorEastAsia"/>
          <w:b w:val="0"/>
          <w:bCs w:val="0"/>
          <w:color w:val="auto"/>
          <w:spacing w:val="0"/>
          <w:sz w:val="24"/>
          <w:szCs w:val="24"/>
          <w:highlight w:val="none"/>
        </w:rPr>
        <w:t>在服务过程中起到配合、监督及管理的作用。</w:t>
      </w:r>
    </w:p>
    <w:p w14:paraId="654677E8">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lang w:val="en-US" w:eastAsia="zh-CN"/>
        </w:rPr>
        <w:t>3</w:t>
      </w:r>
      <w:r>
        <w:rPr>
          <w:rFonts w:hint="eastAsia" w:cs="宋体" w:asciiTheme="minorEastAsia" w:hAnsiTheme="minorEastAsia"/>
          <w:b w:val="0"/>
          <w:bCs w:val="0"/>
          <w:color w:val="auto"/>
          <w:spacing w:val="0"/>
          <w:sz w:val="24"/>
          <w:szCs w:val="24"/>
          <w:highlight w:val="none"/>
          <w:lang w:eastAsia="zh-CN"/>
        </w:rPr>
        <w:t>.</w:t>
      </w:r>
      <w:r>
        <w:rPr>
          <w:rFonts w:hint="eastAsia" w:cs="宋体" w:asciiTheme="minorEastAsia" w:hAnsiTheme="minorEastAsia"/>
          <w:b w:val="0"/>
          <w:bCs w:val="0"/>
          <w:color w:val="auto"/>
          <w:spacing w:val="0"/>
          <w:sz w:val="24"/>
          <w:szCs w:val="24"/>
          <w:highlight w:val="none"/>
        </w:rPr>
        <w:t>在服务期内，乙方应遵守相关安全规定，严格按安全标准组织服务，采取必要的安 全防护措施，消除事故隐患。乙方履行本合同造成的任何损害(包括但不限于人员、车辆的 安全法律责任)均由服务单位自行承担，一切与甲方无关。</w:t>
      </w:r>
    </w:p>
    <w:p w14:paraId="3A1C5132">
      <w:pPr>
        <w:spacing w:line="360" w:lineRule="auto"/>
        <w:ind w:firstLine="480" w:firstLineChars="200"/>
        <w:rPr>
          <w:rFonts w:hint="eastAsia"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lang w:val="en-US" w:eastAsia="zh-CN"/>
        </w:rPr>
        <w:t>4.</w:t>
      </w:r>
      <w:r>
        <w:rPr>
          <w:rFonts w:hint="eastAsia" w:cs="宋体" w:asciiTheme="minorEastAsia" w:hAnsiTheme="minorEastAsia"/>
          <w:b w:val="0"/>
          <w:bCs w:val="0"/>
          <w:color w:val="auto"/>
          <w:spacing w:val="0"/>
          <w:sz w:val="24"/>
          <w:szCs w:val="24"/>
          <w:highlight w:val="none"/>
        </w:rPr>
        <w:t>现场人员及设备应满足服务要求，甲方将随机抽查乙方实际出勤人数及车辆，若与乙方前期所报的计划出勤人数及车辆不一致，发现一次扣除违约金5000元/人或5000元/车。多次缺勤情节严重的，</w:t>
      </w:r>
      <w:r>
        <w:rPr>
          <w:rFonts w:hint="eastAsia" w:cs="宋体" w:asciiTheme="minorEastAsia" w:hAnsiTheme="minorEastAsia"/>
          <w:b w:val="0"/>
          <w:bCs w:val="0"/>
          <w:color w:val="auto"/>
          <w:spacing w:val="0"/>
          <w:sz w:val="24"/>
          <w:szCs w:val="24"/>
          <w:highlight w:val="none"/>
          <w:lang w:val="en-US" w:eastAsia="zh-CN"/>
        </w:rPr>
        <w:t>甲方</w:t>
      </w:r>
      <w:r>
        <w:rPr>
          <w:rFonts w:hint="eastAsia" w:cs="宋体" w:asciiTheme="minorEastAsia" w:hAnsiTheme="minorEastAsia"/>
          <w:b w:val="0"/>
          <w:bCs w:val="0"/>
          <w:color w:val="auto"/>
          <w:spacing w:val="0"/>
          <w:sz w:val="24"/>
          <w:szCs w:val="24"/>
          <w:highlight w:val="none"/>
        </w:rPr>
        <w:t>有权单方面解除合同。</w:t>
      </w:r>
    </w:p>
    <w:p w14:paraId="664571B2">
      <w:pPr>
        <w:spacing w:line="360" w:lineRule="auto"/>
        <w:ind w:firstLine="480" w:firstLineChars="200"/>
        <w:rPr>
          <w:rFonts w:cs="宋体" w:asciiTheme="minorEastAsia" w:hAnsiTheme="minorEastAsia"/>
          <w:b w:val="0"/>
          <w:bCs w:val="0"/>
          <w:color w:val="auto"/>
          <w:spacing w:val="0"/>
          <w:sz w:val="24"/>
          <w:szCs w:val="24"/>
          <w:highlight w:val="none"/>
        </w:rPr>
      </w:pPr>
      <w:r>
        <w:rPr>
          <w:rFonts w:hint="eastAsia" w:cs="宋体" w:asciiTheme="minorEastAsia" w:hAnsiTheme="minorEastAsia"/>
          <w:b w:val="0"/>
          <w:bCs w:val="0"/>
          <w:color w:val="auto"/>
          <w:spacing w:val="0"/>
          <w:sz w:val="24"/>
          <w:szCs w:val="24"/>
          <w:highlight w:val="none"/>
          <w:lang w:val="en-US" w:eastAsia="zh-CN"/>
        </w:rPr>
        <w:t>5.</w:t>
      </w:r>
      <w:r>
        <w:rPr>
          <w:rFonts w:hint="eastAsia" w:cs="宋体" w:asciiTheme="minorEastAsia" w:hAnsiTheme="minorEastAsia"/>
          <w:b w:val="0"/>
          <w:bCs w:val="0"/>
          <w:color w:val="auto"/>
          <w:spacing w:val="0"/>
          <w:sz w:val="24"/>
          <w:szCs w:val="24"/>
          <w:highlight w:val="none"/>
        </w:rPr>
        <w:t>乙方应严格执行服务要求，如遇</w:t>
      </w:r>
      <w:r>
        <w:rPr>
          <w:rFonts w:hint="eastAsia" w:cs="宋体" w:asciiTheme="minorEastAsia" w:hAnsiTheme="minorEastAsia"/>
          <w:b w:val="0"/>
          <w:bCs w:val="0"/>
          <w:color w:val="auto"/>
          <w:spacing w:val="0"/>
          <w:sz w:val="24"/>
          <w:szCs w:val="24"/>
          <w:highlight w:val="none"/>
          <w:lang w:val="en-US" w:eastAsia="zh-CN"/>
        </w:rPr>
        <w:t>甲方</w:t>
      </w:r>
      <w:r>
        <w:rPr>
          <w:rFonts w:hint="eastAsia" w:cs="宋体" w:asciiTheme="minorEastAsia" w:hAnsiTheme="minorEastAsia"/>
          <w:b w:val="0"/>
          <w:bCs w:val="0"/>
          <w:color w:val="auto"/>
          <w:spacing w:val="0"/>
          <w:sz w:val="24"/>
          <w:szCs w:val="24"/>
          <w:highlight w:val="none"/>
        </w:rPr>
        <w:t>随机抽查发现未按服务要求执行的，处以</w:t>
      </w:r>
      <w:r>
        <w:rPr>
          <w:rFonts w:hint="eastAsia" w:cs="宋体" w:asciiTheme="minorEastAsia" w:hAnsiTheme="minorEastAsia"/>
          <w:b w:val="0"/>
          <w:bCs w:val="0"/>
          <w:color w:val="auto"/>
          <w:spacing w:val="0"/>
          <w:sz w:val="24"/>
          <w:szCs w:val="24"/>
          <w:highlight w:val="none"/>
          <w:lang w:val="en-US" w:eastAsia="zh-CN"/>
        </w:rPr>
        <w:t>相应</w:t>
      </w:r>
      <w:r>
        <w:rPr>
          <w:rFonts w:hint="eastAsia" w:cs="宋体" w:asciiTheme="minorEastAsia" w:hAnsiTheme="minorEastAsia"/>
          <w:b w:val="0"/>
          <w:bCs w:val="0"/>
          <w:color w:val="auto"/>
          <w:spacing w:val="0"/>
          <w:sz w:val="24"/>
          <w:szCs w:val="24"/>
          <w:highlight w:val="none"/>
        </w:rPr>
        <w:t>罚款，具体以甲方要求为准。</w:t>
      </w:r>
    </w:p>
    <w:p w14:paraId="2EA6D9CD">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九、</w:t>
      </w:r>
      <w:r>
        <w:rPr>
          <w:rFonts w:hint="eastAsia" w:cs="宋体" w:asciiTheme="minorEastAsia" w:hAnsiTheme="minorEastAsia"/>
          <w:b/>
          <w:color w:val="auto"/>
          <w:spacing w:val="0"/>
          <w:sz w:val="24"/>
          <w:szCs w:val="24"/>
          <w:highlight w:val="none"/>
        </w:rPr>
        <w:t>验收</w:t>
      </w:r>
    </w:p>
    <w:p w14:paraId="0E9AC885">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w:t>
      </w:r>
      <w:r>
        <w:rPr>
          <w:rFonts w:hint="eastAsia" w:cs="宋体" w:asciiTheme="minorEastAsia" w:hAnsiTheme="minorEastAsia"/>
          <w:color w:val="auto"/>
          <w:spacing w:val="0"/>
          <w:sz w:val="24"/>
          <w:szCs w:val="24"/>
          <w:highlight w:val="none"/>
          <w:u w:val="none"/>
        </w:rPr>
        <w:t>依据《中华人民共和国森林法》《中华人民共和国野生动物保护法》《植物检疫条例》《中华人民共和国湿地保护法》等国家法律法规，以及《陕西省林业有害生物防治检疫条例》《西安市林业发展“十四五”规划》等地方政策文件开展。同时，遵循《森林病虫害监测技术规程》《美国白蛾防控技术规范》《陕西省2025年松材线虫病防治方案》《陆生野生动物疫源疫病监测规范》 《西安浐灞国际港重大林业有害生物防控工作方案》等技术标准，确保项目实施的规范性与科学性。</w:t>
      </w:r>
    </w:p>
    <w:p w14:paraId="14B4384C">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2.采购人进行验收，若认为验收不合格，供应商应重新调整且进行重新验收。</w:t>
      </w:r>
    </w:p>
    <w:p w14:paraId="47385A9C">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3.验收依据：</w:t>
      </w:r>
    </w:p>
    <w:p w14:paraId="6CF9DEE8">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①本项目招标文件、投标文件；</w:t>
      </w:r>
    </w:p>
    <w:p w14:paraId="10F33344">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②本合同及附件文本；</w:t>
      </w:r>
    </w:p>
    <w:p w14:paraId="6DB19F3F">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③合同签订时国家及行业现行的标准和技术规范。</w:t>
      </w:r>
    </w:p>
    <w:p w14:paraId="328A2D57">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④供应商应向采购人提交项目实施过程中的所有资料，以便采购人日后管理和维护。</w:t>
      </w:r>
    </w:p>
    <w:p w14:paraId="2A9DE3AC">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十、技术要求</w:t>
      </w:r>
    </w:p>
    <w:p w14:paraId="10BC89F3">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满足招标文件中采购内容及技术要求。</w:t>
      </w:r>
    </w:p>
    <w:p w14:paraId="07C69EF9">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十一、知识产权</w:t>
      </w:r>
    </w:p>
    <w:p w14:paraId="7E8A0EC2">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1.乙方根据本合同取得的成果资料的著作权及其他相关知识产权属甲方所有。未经甲方同意，乙方不得公开发表、使用或向任何第三方提供上述成果资料。</w:t>
      </w:r>
    </w:p>
    <w:p w14:paraId="3605AFFA">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2.乙方所提交的成果资料不应存在任何瑕疵，乙方应保证甲方免于遭受因第三方提起侵权索赔而产生的任何损失。如果任何第三方向甲方提起侵权索赔，乙方应负责与之进行交涉，并承担由此引起的一切责任。</w:t>
      </w:r>
    </w:p>
    <w:p w14:paraId="30CEE2CE">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十二、双方的权利和义务</w:t>
      </w:r>
    </w:p>
    <w:p w14:paraId="37C3454C">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（一）甲方的权利和义务</w:t>
      </w:r>
    </w:p>
    <w:p w14:paraId="2150E3B4">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1.甲方有权对合同规定范围内乙方的服务行为进行监督和检查，拥有监管权。对甲方认为不合理的部分有权下达整改通知书，并要求乙方限期整改。</w:t>
      </w:r>
    </w:p>
    <w:p w14:paraId="0A1A59D4">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2.负责检查监督乙方管理工作的实施及制度的执行情况。</w:t>
      </w:r>
    </w:p>
    <w:p w14:paraId="3463F35E">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3.根据本合同规定，按时向乙方支付应付服务费用。</w:t>
      </w:r>
    </w:p>
    <w:p w14:paraId="35A75810">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lang w:val="en-US" w:eastAsia="zh-CN"/>
        </w:rPr>
        <w:t>4</w:t>
      </w:r>
      <w:r>
        <w:rPr>
          <w:rFonts w:hint="eastAsia" w:cs="宋体" w:asciiTheme="minorEastAsia" w:hAnsiTheme="minorEastAsia"/>
          <w:color w:val="auto"/>
          <w:spacing w:val="0"/>
          <w:sz w:val="24"/>
          <w:szCs w:val="24"/>
          <w:highlight w:val="none"/>
        </w:rPr>
        <w:t>.国家法律、法规所规定由甲方承担的其它责任。</w:t>
      </w:r>
    </w:p>
    <w:p w14:paraId="3EC1AF7B">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color w:val="auto"/>
          <w:spacing w:val="0"/>
          <w:sz w:val="24"/>
          <w:szCs w:val="24"/>
          <w:highlight w:val="none"/>
        </w:rPr>
        <w:t>（二）乙方的权利和义务</w:t>
      </w:r>
    </w:p>
    <w:p w14:paraId="2211058A">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1.及时向甲方通告本项目服务范围内有关服务的重大事项，及时配合处理甲方服务过程中出现的问题。</w:t>
      </w:r>
    </w:p>
    <w:p w14:paraId="703F13A3">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2.乙方应接受甲方对其合同执行情况、工作完成情况的监督、检查，对不符合要求的工作情况要按甲方要求及时整改</w:t>
      </w:r>
    </w:p>
    <w:p w14:paraId="0B2A0089">
      <w:pPr>
        <w:spacing w:line="360" w:lineRule="auto"/>
        <w:ind w:firstLine="480" w:firstLineChars="200"/>
        <w:rPr>
          <w:rFonts w:hint="default" w:cs="宋体" w:asciiTheme="minorEastAsia" w:hAnsiTheme="minorEastAsia"/>
          <w:color w:val="auto"/>
          <w:spacing w:val="0"/>
          <w:sz w:val="24"/>
          <w:szCs w:val="24"/>
          <w:highlight w:val="none"/>
          <w:lang w:val="en-US" w:eastAsia="zh-CN"/>
        </w:rPr>
      </w:pPr>
      <w:r>
        <w:rPr>
          <w:rFonts w:hint="eastAsia" w:cs="宋体" w:asciiTheme="minorEastAsia" w:hAnsiTheme="minorEastAsia"/>
          <w:color w:val="auto"/>
          <w:spacing w:val="0"/>
          <w:sz w:val="24"/>
          <w:szCs w:val="24"/>
          <w:highlight w:val="none"/>
          <w:lang w:val="en-US" w:eastAsia="zh-CN"/>
        </w:rPr>
        <w:t>3.接受项目行业管理部门及政府有关部门的指导，接受甲方的监督。</w:t>
      </w:r>
    </w:p>
    <w:p w14:paraId="5B0B8858">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lang w:val="en-US" w:eastAsia="zh-CN"/>
        </w:rPr>
        <w:t>4</w:t>
      </w:r>
      <w:r>
        <w:rPr>
          <w:rFonts w:hint="eastAsia" w:cs="宋体" w:asciiTheme="minorEastAsia" w:hAnsiTheme="minorEastAsia"/>
          <w:color w:val="auto"/>
          <w:spacing w:val="0"/>
          <w:sz w:val="24"/>
          <w:szCs w:val="24"/>
          <w:highlight w:val="none"/>
        </w:rPr>
        <w:t>.在本合同履行过程中，乙方应按国家环境保护法、职工职业健康、安全生产法等相关法律法规要求，做好环境保护和职工职业健康与安全生产工作。</w:t>
      </w:r>
    </w:p>
    <w:p w14:paraId="2DE28481">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十三、保密</w:t>
      </w:r>
    </w:p>
    <w:p w14:paraId="12A97483">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乙方及其工作人员应对成果资料和在合同履行过程中了解到的涉及甲方商业秘密的资料以及其他尚未公开的有关信息承担保密义务，并采取相应的保密措施。乙方应承担的保密义务包括但不限于：</w:t>
      </w:r>
    </w:p>
    <w:p w14:paraId="2DD7D980">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1.未经甲方书面同意，不得将上述成果资料、资料及信息披露给任何第三方；</w:t>
      </w:r>
    </w:p>
    <w:p w14:paraId="1FB194F3">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lang w:val="en-US" w:eastAsia="zh-CN"/>
        </w:rPr>
        <w:t>2</w:t>
      </w:r>
      <w:r>
        <w:rPr>
          <w:rFonts w:hint="eastAsia" w:cs="宋体" w:asciiTheme="minorEastAsia" w:hAnsiTheme="minorEastAsia"/>
          <w:color w:val="auto"/>
          <w:spacing w:val="0"/>
          <w:sz w:val="24"/>
          <w:szCs w:val="24"/>
          <w:highlight w:val="none"/>
        </w:rPr>
        <w:t>.上述保密义务的期限至成果资料及相关资料或信息正式向社会公开之日或甲方书面解除乙方此合同项下保密义务之日止；</w:t>
      </w:r>
    </w:p>
    <w:p w14:paraId="74EE40FB">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lang w:val="en-US" w:eastAsia="zh-CN"/>
        </w:rPr>
        <w:t>3</w:t>
      </w:r>
      <w:r>
        <w:rPr>
          <w:rFonts w:hint="eastAsia" w:cs="宋体" w:asciiTheme="minorEastAsia" w:hAnsiTheme="minorEastAsia"/>
          <w:color w:val="auto"/>
          <w:spacing w:val="0"/>
          <w:sz w:val="24"/>
          <w:szCs w:val="24"/>
          <w:highlight w:val="none"/>
        </w:rPr>
        <w:t>.乙方违反保密义务的，应承担一切法律责任并赔偿甲方因此遭受的全部损失。</w:t>
      </w:r>
    </w:p>
    <w:p w14:paraId="5648FB05">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lang w:val="en-US" w:eastAsia="zh-CN"/>
        </w:rPr>
        <w:t>4</w:t>
      </w:r>
      <w:r>
        <w:rPr>
          <w:rFonts w:hint="eastAsia" w:cs="宋体" w:asciiTheme="minorEastAsia" w:hAnsiTheme="minorEastAsia"/>
          <w:color w:val="auto"/>
          <w:spacing w:val="0"/>
          <w:sz w:val="24"/>
          <w:szCs w:val="24"/>
          <w:highlight w:val="none"/>
        </w:rPr>
        <w:t>.本条约定在本合同履行完毕后仍然继续有效，且不受合同解除、终止或无效的影响。</w:t>
      </w:r>
    </w:p>
    <w:p w14:paraId="75EC52D5">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十四、合同争议的解决</w:t>
      </w:r>
    </w:p>
    <w:p w14:paraId="1CA8E27D">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合同执行中发生争议的，当事人双方应协商解决。协商不一致时，向西安仲裁委员会申请仲裁。</w:t>
      </w:r>
    </w:p>
    <w:p w14:paraId="2EAD1A18">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十五、</w:t>
      </w:r>
      <w:r>
        <w:rPr>
          <w:rFonts w:hint="eastAsia" w:cs="宋体" w:asciiTheme="minorEastAsia" w:hAnsiTheme="minorEastAsia"/>
          <w:color w:val="auto"/>
          <w:spacing w:val="0"/>
          <w:sz w:val="24"/>
          <w:szCs w:val="24"/>
          <w:highlight w:val="none"/>
        </w:rPr>
        <w:t>不可抗力情况下的免责约定，双方约定不可抗力情况包括：五级以上地震、大风、大 雨、大雪。。</w:t>
      </w:r>
    </w:p>
    <w:p w14:paraId="39F24525">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十六、</w:t>
      </w:r>
      <w:r>
        <w:rPr>
          <w:rFonts w:hint="eastAsia" w:cs="宋体" w:asciiTheme="minorEastAsia" w:hAnsiTheme="minorEastAsia"/>
          <w:color w:val="auto"/>
          <w:spacing w:val="0"/>
          <w:sz w:val="24"/>
          <w:szCs w:val="24"/>
          <w:highlight w:val="none"/>
        </w:rPr>
        <w:t>除本合同约定，合同一经签订，不得擅自变更、中止或者终止合同。对确需变更、调 整或者中止、终止合同的，应按规定履行相应的手续。</w:t>
      </w:r>
    </w:p>
    <w:p w14:paraId="2EF1E3D4">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bCs/>
          <w:color w:val="auto"/>
          <w:spacing w:val="0"/>
          <w:sz w:val="24"/>
          <w:szCs w:val="24"/>
          <w:highlight w:val="none"/>
        </w:rPr>
        <w:t>十七、违约责任</w:t>
      </w:r>
    </w:p>
    <w:p w14:paraId="4F364251">
      <w:pPr>
        <w:spacing w:line="360" w:lineRule="auto"/>
        <w:ind w:firstLine="489" w:firstLineChars="204"/>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按《</w:t>
      </w:r>
      <w:r>
        <w:rPr>
          <w:rFonts w:hint="eastAsia" w:cs="宋体" w:asciiTheme="minorEastAsia" w:hAnsiTheme="minorEastAsia"/>
          <w:color w:val="auto"/>
          <w:spacing w:val="0"/>
          <w:sz w:val="24"/>
          <w:szCs w:val="24"/>
          <w:highlight w:val="none"/>
          <w:lang w:eastAsia="zh-CN"/>
        </w:rPr>
        <w:t>中华人民共和国民法典</w:t>
      </w:r>
      <w:r>
        <w:rPr>
          <w:rFonts w:hint="eastAsia" w:cs="宋体" w:asciiTheme="minorEastAsia" w:hAnsiTheme="minorEastAsia"/>
          <w:color w:val="auto"/>
          <w:spacing w:val="0"/>
          <w:sz w:val="24"/>
          <w:szCs w:val="24"/>
          <w:highlight w:val="none"/>
        </w:rPr>
        <w:t>》中的相关条款和本合同的约定执行。未按合同或投标文件要求提供服务质量不能满足甲方技术要求，甲方有权终止合同，甚至对乙方违约行为进行追究。</w:t>
      </w:r>
    </w:p>
    <w:p w14:paraId="37F3BED4">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十八、其他(在合同中具体明确)</w:t>
      </w:r>
    </w:p>
    <w:p w14:paraId="02215FC6">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十九、合同订立</w:t>
      </w:r>
    </w:p>
    <w:p w14:paraId="2660DF49">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1.订立时间：</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年</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月</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日。</w:t>
      </w:r>
    </w:p>
    <w:p w14:paraId="760C5D4C">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2.订立地点：</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p>
    <w:p w14:paraId="6813EA28">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3.本合同一式</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份，具有同等法律效力，双方各执</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份，监管部门备案壹份、采购代理机构存档壹份。各方签字盖章后生效，合同执行完毕自动失效。(合同的服务承诺则长期有效)。</w:t>
      </w:r>
    </w:p>
    <w:p w14:paraId="76F35EE4">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甲  方：</w:t>
      </w:r>
      <w:r>
        <w:rPr>
          <w:rFonts w:hint="eastAsia" w:cs="宋体" w:asciiTheme="minorEastAsia" w:hAnsiTheme="minorEastAsia"/>
          <w:color w:val="auto"/>
          <w:spacing w:val="0"/>
          <w:sz w:val="24"/>
          <w:szCs w:val="24"/>
          <w:highlight w:val="none"/>
          <w:u w:val="single"/>
        </w:rPr>
        <w:t xml:space="preserve">   （盖章）      </w:t>
      </w:r>
      <w:r>
        <w:rPr>
          <w:rFonts w:hint="eastAsia" w:cs="宋体" w:asciiTheme="minorEastAsia" w:hAnsiTheme="minorEastAsia"/>
          <w:color w:val="auto"/>
          <w:spacing w:val="0"/>
          <w:sz w:val="24"/>
          <w:szCs w:val="24"/>
          <w:highlight w:val="none"/>
        </w:rPr>
        <w:t xml:space="preserve">                乙  方：</w:t>
      </w:r>
      <w:r>
        <w:rPr>
          <w:rFonts w:hint="eastAsia" w:cs="宋体" w:asciiTheme="minorEastAsia" w:hAnsiTheme="minorEastAsia"/>
          <w:color w:val="auto"/>
          <w:spacing w:val="0"/>
          <w:sz w:val="24"/>
          <w:szCs w:val="24"/>
          <w:highlight w:val="none"/>
          <w:u w:val="single"/>
        </w:rPr>
        <w:t xml:space="preserve">   （盖章）        </w:t>
      </w:r>
    </w:p>
    <w:p w14:paraId="3614ABBD">
      <w:pPr>
        <w:spacing w:line="360" w:lineRule="auto"/>
        <w:ind w:firstLine="240" w:firstLineChars="100"/>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rPr>
        <w:t xml:space="preserve">地  址： </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地  址：</w:t>
      </w:r>
      <w:r>
        <w:rPr>
          <w:rFonts w:hint="eastAsia" w:cs="宋体" w:asciiTheme="minorEastAsia" w:hAnsiTheme="minorEastAsia"/>
          <w:color w:val="auto"/>
          <w:spacing w:val="0"/>
          <w:sz w:val="24"/>
          <w:szCs w:val="24"/>
          <w:highlight w:val="none"/>
          <w:u w:val="single"/>
        </w:rPr>
        <w:t xml:space="preserve">                   </w:t>
      </w:r>
    </w:p>
    <w:p w14:paraId="138109A1">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邮政编码：</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邮政编码：</w:t>
      </w:r>
      <w:r>
        <w:rPr>
          <w:rFonts w:hint="eastAsia" w:cs="宋体" w:asciiTheme="minorEastAsia" w:hAnsiTheme="minorEastAsia"/>
          <w:color w:val="auto"/>
          <w:spacing w:val="0"/>
          <w:sz w:val="24"/>
          <w:szCs w:val="24"/>
          <w:highlight w:val="none"/>
          <w:u w:val="single"/>
        </w:rPr>
        <w:t xml:space="preserve">                 </w:t>
      </w:r>
    </w:p>
    <w:p w14:paraId="6508511E">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 xml:space="preserve">法定代表人或其授权                       法定代表人或其授权 </w:t>
      </w:r>
    </w:p>
    <w:p w14:paraId="190F98CB">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的代理人：</w:t>
      </w:r>
      <w:r>
        <w:rPr>
          <w:rFonts w:hint="eastAsia" w:cs="宋体" w:asciiTheme="minorEastAsia" w:hAnsiTheme="minorEastAsia"/>
          <w:color w:val="auto"/>
          <w:spacing w:val="0"/>
          <w:sz w:val="24"/>
          <w:szCs w:val="24"/>
          <w:highlight w:val="none"/>
          <w:u w:val="single"/>
        </w:rPr>
        <w:t xml:space="preserve">（签字）      </w:t>
      </w:r>
      <w:r>
        <w:rPr>
          <w:rFonts w:hint="eastAsia" w:cs="宋体" w:asciiTheme="minorEastAsia" w:hAnsiTheme="minorEastAsia"/>
          <w:color w:val="auto"/>
          <w:spacing w:val="0"/>
          <w:sz w:val="24"/>
          <w:szCs w:val="24"/>
          <w:highlight w:val="none"/>
        </w:rPr>
        <w:t xml:space="preserve">                 的代理人：</w:t>
      </w:r>
      <w:r>
        <w:rPr>
          <w:rFonts w:hint="eastAsia" w:cs="宋体" w:asciiTheme="minorEastAsia" w:hAnsiTheme="minorEastAsia"/>
          <w:color w:val="auto"/>
          <w:spacing w:val="0"/>
          <w:sz w:val="24"/>
          <w:szCs w:val="24"/>
          <w:highlight w:val="none"/>
          <w:u w:val="single"/>
        </w:rPr>
        <w:t xml:space="preserve">（签字）           </w:t>
      </w:r>
    </w:p>
    <w:p w14:paraId="4468B6D0">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开户银行：</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开户银行：</w:t>
      </w:r>
      <w:r>
        <w:rPr>
          <w:rFonts w:hint="eastAsia" w:cs="宋体" w:asciiTheme="minorEastAsia" w:hAnsiTheme="minorEastAsia"/>
          <w:color w:val="auto"/>
          <w:spacing w:val="0"/>
          <w:sz w:val="24"/>
          <w:szCs w:val="24"/>
          <w:highlight w:val="none"/>
          <w:u w:val="single"/>
        </w:rPr>
        <w:t xml:space="preserve">                 </w:t>
      </w:r>
    </w:p>
    <w:p w14:paraId="60CB48AF">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账号：</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账号：</w:t>
      </w:r>
      <w:r>
        <w:rPr>
          <w:rFonts w:hint="eastAsia" w:cs="宋体" w:asciiTheme="minorEastAsia" w:hAnsiTheme="minorEastAsia"/>
          <w:color w:val="auto"/>
          <w:spacing w:val="0"/>
          <w:sz w:val="24"/>
          <w:szCs w:val="24"/>
          <w:highlight w:val="none"/>
          <w:u w:val="single"/>
        </w:rPr>
        <w:t xml:space="preserve">                     </w:t>
      </w:r>
    </w:p>
    <w:p w14:paraId="443EDF64">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电话：</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电话：</w:t>
      </w:r>
      <w:r>
        <w:rPr>
          <w:rFonts w:hint="eastAsia" w:cs="宋体" w:asciiTheme="minorEastAsia" w:hAnsiTheme="minorEastAsia"/>
          <w:color w:val="auto"/>
          <w:spacing w:val="0"/>
          <w:sz w:val="24"/>
          <w:szCs w:val="24"/>
          <w:highlight w:val="none"/>
          <w:u w:val="single"/>
        </w:rPr>
        <w:t xml:space="preserve">                     </w:t>
      </w:r>
    </w:p>
    <w:p w14:paraId="2D667AEA">
      <w:pPr>
        <w:spacing w:line="360" w:lineRule="auto"/>
        <w:ind w:firstLine="240" w:firstLineChars="1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传真：</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传真：</w:t>
      </w:r>
      <w:r>
        <w:rPr>
          <w:rFonts w:hint="eastAsia" w:cs="宋体" w:asciiTheme="minorEastAsia" w:hAnsiTheme="minorEastAsia"/>
          <w:color w:val="auto"/>
          <w:spacing w:val="0"/>
          <w:sz w:val="24"/>
          <w:szCs w:val="24"/>
          <w:highlight w:val="none"/>
          <w:u w:val="single"/>
        </w:rPr>
        <w:t xml:space="preserve">                     </w:t>
      </w:r>
    </w:p>
    <w:p w14:paraId="4A7B3240">
      <w:pPr>
        <w:spacing w:line="360" w:lineRule="auto"/>
        <w:ind w:firstLine="240" w:firstLineChars="100"/>
        <w:rPr>
          <w:rFonts w:hint="eastAsia"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rPr>
        <w:t>电子邮箱：</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 xml:space="preserve">              电子邮箱：</w:t>
      </w:r>
      <w:r>
        <w:rPr>
          <w:rFonts w:hint="eastAsia" w:cs="宋体" w:asciiTheme="minorEastAsia" w:hAnsiTheme="minorEastAsia"/>
          <w:color w:val="auto"/>
          <w:spacing w:val="0"/>
          <w:sz w:val="24"/>
          <w:szCs w:val="24"/>
          <w:highlight w:val="none"/>
          <w:u w:val="single"/>
        </w:rPr>
        <w:t xml:space="preserve">                 </w:t>
      </w:r>
    </w:p>
    <w:p w14:paraId="15EA791A">
      <w:pPr>
        <w:rPr>
          <w:rFonts w:hint="eastAsia"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u w:val="single"/>
        </w:rPr>
        <w:br w:type="page"/>
      </w:r>
    </w:p>
    <w:p w14:paraId="2AD02415">
      <w:pPr>
        <w:pStyle w:val="5"/>
        <w:rPr>
          <w:rFonts w:hint="eastAsia"/>
          <w:highlight w:val="none"/>
          <w:lang w:val="en-US" w:eastAsia="zh-CN"/>
        </w:rPr>
      </w:pPr>
      <w:r>
        <w:rPr>
          <w:rFonts w:hint="eastAsia"/>
          <w:highlight w:val="none"/>
          <w:lang w:val="en-US" w:eastAsia="zh-CN"/>
        </w:rPr>
        <w:t>附表：</w:t>
      </w:r>
    </w:p>
    <w:tbl>
      <w:tblPr>
        <w:tblStyle w:val="7"/>
        <w:tblW w:w="4995" w:type="pct"/>
        <w:jc w:val="center"/>
        <w:tblLayout w:type="autofit"/>
        <w:tblCellMar>
          <w:top w:w="0" w:type="dxa"/>
          <w:left w:w="28" w:type="dxa"/>
          <w:bottom w:w="0" w:type="dxa"/>
          <w:right w:w="28" w:type="dxa"/>
        </w:tblCellMar>
      </w:tblPr>
      <w:tblGrid>
        <w:gridCol w:w="547"/>
        <w:gridCol w:w="567"/>
        <w:gridCol w:w="1827"/>
        <w:gridCol w:w="1372"/>
        <w:gridCol w:w="1482"/>
        <w:gridCol w:w="1277"/>
        <w:gridCol w:w="1282"/>
      </w:tblGrid>
      <w:tr w14:paraId="0180D8D5">
        <w:tblPrEx>
          <w:tblCellMar>
            <w:top w:w="0" w:type="dxa"/>
            <w:left w:w="28" w:type="dxa"/>
            <w:bottom w:w="0" w:type="dxa"/>
            <w:right w:w="28" w:type="dxa"/>
          </w:tblCellMar>
        </w:tblPrEx>
        <w:trPr>
          <w:trHeight w:val="595" w:hRule="atLeast"/>
          <w:jc w:val="center"/>
        </w:trPr>
        <w:tc>
          <w:tcPr>
            <w:tcW w:w="328" w:type="pct"/>
            <w:vMerge w:val="restart"/>
            <w:tcBorders>
              <w:top w:val="single" w:color="auto" w:sz="6" w:space="0"/>
              <w:left w:val="single" w:color="auto" w:sz="6" w:space="0"/>
              <w:right w:val="single" w:color="auto" w:sz="4" w:space="0"/>
            </w:tcBorders>
            <w:vAlign w:val="center"/>
          </w:tcPr>
          <w:p w14:paraId="203C2132">
            <w:pPr>
              <w:spacing w:after="12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费用</w:t>
            </w:r>
          </w:p>
        </w:tc>
        <w:tc>
          <w:tcPr>
            <w:tcW w:w="339" w:type="pct"/>
            <w:tcBorders>
              <w:top w:val="single" w:color="auto" w:sz="6" w:space="0"/>
              <w:left w:val="single" w:color="auto" w:sz="4" w:space="0"/>
              <w:bottom w:val="single" w:color="auto" w:sz="6" w:space="0"/>
            </w:tcBorders>
            <w:vAlign w:val="center"/>
          </w:tcPr>
          <w:p w14:paraId="24ECD517">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092" w:type="pct"/>
            <w:tcBorders>
              <w:top w:val="single" w:color="auto" w:sz="6" w:space="0"/>
              <w:left w:val="single" w:color="auto" w:sz="6" w:space="0"/>
              <w:bottom w:val="single" w:color="auto" w:sz="6" w:space="0"/>
              <w:right w:val="single" w:color="auto" w:sz="4" w:space="0"/>
            </w:tcBorders>
            <w:vAlign w:val="center"/>
          </w:tcPr>
          <w:p w14:paraId="0161880B">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名称</w:t>
            </w:r>
          </w:p>
        </w:tc>
        <w:tc>
          <w:tcPr>
            <w:tcW w:w="821" w:type="pct"/>
            <w:tcBorders>
              <w:top w:val="single" w:color="auto" w:sz="6" w:space="0"/>
              <w:left w:val="single" w:color="auto" w:sz="4" w:space="0"/>
              <w:bottom w:val="single" w:color="auto" w:sz="6" w:space="0"/>
              <w:right w:val="single" w:color="auto" w:sz="6" w:space="0"/>
            </w:tcBorders>
            <w:vAlign w:val="center"/>
          </w:tcPr>
          <w:p w14:paraId="26B4A7E3">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服务期</w:t>
            </w:r>
          </w:p>
        </w:tc>
        <w:tc>
          <w:tcPr>
            <w:tcW w:w="887" w:type="pct"/>
            <w:tcBorders>
              <w:top w:val="single" w:color="auto" w:sz="6" w:space="0"/>
              <w:left w:val="single" w:color="auto" w:sz="6" w:space="0"/>
              <w:bottom w:val="single" w:color="auto" w:sz="6" w:space="0"/>
              <w:right w:val="single" w:color="auto" w:sz="6" w:space="0"/>
            </w:tcBorders>
            <w:vAlign w:val="center"/>
          </w:tcPr>
          <w:p w14:paraId="4E0B7D1C">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单价</w:t>
            </w:r>
          </w:p>
          <w:p w14:paraId="3D0FF82E">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（元）</w:t>
            </w:r>
          </w:p>
        </w:tc>
        <w:tc>
          <w:tcPr>
            <w:tcW w:w="764" w:type="pct"/>
            <w:tcBorders>
              <w:top w:val="single" w:color="auto" w:sz="6" w:space="0"/>
              <w:left w:val="single" w:color="auto" w:sz="6" w:space="0"/>
              <w:bottom w:val="single" w:color="auto" w:sz="6" w:space="0"/>
              <w:right w:val="single" w:color="auto" w:sz="6" w:space="0"/>
            </w:tcBorders>
            <w:vAlign w:val="center"/>
          </w:tcPr>
          <w:p w14:paraId="37E21F51">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数量</w:t>
            </w:r>
          </w:p>
          <w:p w14:paraId="5B85D7BA">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（暂定）</w:t>
            </w:r>
          </w:p>
        </w:tc>
        <w:tc>
          <w:tcPr>
            <w:tcW w:w="766" w:type="pct"/>
            <w:tcBorders>
              <w:top w:val="single" w:color="auto" w:sz="6" w:space="0"/>
              <w:left w:val="single" w:color="auto" w:sz="6" w:space="0"/>
              <w:bottom w:val="single" w:color="auto" w:sz="6" w:space="0"/>
              <w:right w:val="single" w:color="auto" w:sz="6" w:space="0"/>
            </w:tcBorders>
            <w:vAlign w:val="center"/>
          </w:tcPr>
          <w:p w14:paraId="081C5D70">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总价</w:t>
            </w:r>
          </w:p>
          <w:p w14:paraId="096A378D">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（元）</w:t>
            </w:r>
          </w:p>
        </w:tc>
      </w:tr>
      <w:tr w14:paraId="3F491604">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1098E723">
            <w:pPr>
              <w:spacing w:before="312" w:beforeLines="100"/>
              <w:jc w:val="center"/>
              <w:rPr>
                <w:rFonts w:hint="eastAsia" w:ascii="宋体" w:hAnsi="宋体" w:eastAsia="宋体" w:cs="宋体"/>
                <w:b/>
                <w:bCs/>
                <w:sz w:val="24"/>
                <w:szCs w:val="24"/>
                <w:highlight w:val="none"/>
              </w:rPr>
            </w:pPr>
          </w:p>
        </w:tc>
        <w:tc>
          <w:tcPr>
            <w:tcW w:w="339" w:type="pct"/>
            <w:tcBorders>
              <w:top w:val="single" w:color="auto" w:sz="6" w:space="0"/>
              <w:left w:val="single" w:color="auto" w:sz="4" w:space="0"/>
              <w:bottom w:val="single" w:color="auto" w:sz="4" w:space="0"/>
            </w:tcBorders>
            <w:vAlign w:val="center"/>
          </w:tcPr>
          <w:p w14:paraId="6AB02C5D">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w:t>
            </w:r>
          </w:p>
        </w:tc>
        <w:tc>
          <w:tcPr>
            <w:tcW w:w="2055" w:type="dxa"/>
            <w:tcBorders>
              <w:top w:val="single" w:color="auto" w:sz="6" w:space="0"/>
              <w:left w:val="single" w:color="auto" w:sz="6" w:space="0"/>
              <w:bottom w:val="single" w:color="auto" w:sz="4" w:space="0"/>
              <w:right w:val="single" w:color="auto" w:sz="4" w:space="0"/>
            </w:tcBorders>
            <w:vAlign w:val="center"/>
          </w:tcPr>
          <w:p w14:paraId="7620BFC3">
            <w:pPr>
              <w:jc w:val="center"/>
              <w:rPr>
                <w:rFonts w:hint="default" w:ascii="宋体" w:hAnsi="宋体" w:eastAsia="宋体" w:cs="宋体"/>
                <w:b/>
                <w:bCs/>
                <w:sz w:val="24"/>
                <w:szCs w:val="24"/>
                <w:highlight w:val="none"/>
                <w:lang w:val="en-US"/>
              </w:rPr>
            </w:pPr>
            <w:r>
              <w:rPr>
                <w:rFonts w:hint="eastAsia" w:ascii="宋体" w:hAnsi="宋体" w:eastAsia="宋体" w:cs="宋体"/>
                <w:b/>
                <w:bCs/>
                <w:i w:val="0"/>
                <w:iCs w:val="0"/>
                <w:color w:val="000000"/>
                <w:kern w:val="0"/>
                <w:sz w:val="24"/>
                <w:szCs w:val="24"/>
                <w:highlight w:val="none"/>
                <w:u w:val="none"/>
                <w:lang w:val="en-US" w:eastAsia="zh-CN" w:bidi="ar"/>
              </w:rPr>
              <w:t>美国白蛾</w:t>
            </w:r>
            <w:r>
              <w:rPr>
                <w:rFonts w:hint="eastAsia" w:ascii="宋体" w:hAnsi="Times New Roman" w:eastAsia="宋体" w:cs="Times New Roman"/>
                <w:b/>
                <w:bCs/>
                <w:kern w:val="0"/>
                <w:sz w:val="24"/>
                <w:szCs w:val="20"/>
                <w:highlight w:val="none"/>
                <w:lang w:val="en-US" w:eastAsia="zh-CN" w:bidi="ar-SA"/>
              </w:rPr>
              <w:t>监测与防控防治服务</w:t>
            </w:r>
          </w:p>
        </w:tc>
        <w:tc>
          <w:tcPr>
            <w:tcW w:w="821" w:type="pct"/>
            <w:tcBorders>
              <w:top w:val="single" w:color="auto" w:sz="6" w:space="0"/>
              <w:left w:val="single" w:color="auto" w:sz="4" w:space="0"/>
              <w:bottom w:val="single" w:color="auto" w:sz="4" w:space="0"/>
              <w:right w:val="single" w:color="auto" w:sz="6" w:space="0"/>
            </w:tcBorders>
            <w:vAlign w:val="center"/>
          </w:tcPr>
          <w:p w14:paraId="24A58A1A">
            <w:pPr>
              <w:jc w:val="center"/>
              <w:rPr>
                <w:rFonts w:hint="eastAsia" w:ascii="宋体" w:hAnsi="宋体" w:eastAsia="宋体" w:cs="宋体"/>
                <w:sz w:val="24"/>
                <w:szCs w:val="24"/>
                <w:highlight w:val="none"/>
              </w:rPr>
            </w:pPr>
          </w:p>
        </w:tc>
        <w:tc>
          <w:tcPr>
            <w:tcW w:w="887" w:type="pct"/>
            <w:tcBorders>
              <w:top w:val="single" w:color="auto" w:sz="6" w:space="0"/>
              <w:left w:val="single" w:color="auto" w:sz="6" w:space="0"/>
              <w:bottom w:val="single" w:color="auto" w:sz="4" w:space="0"/>
              <w:right w:val="single" w:color="auto" w:sz="6" w:space="0"/>
            </w:tcBorders>
            <w:vAlign w:val="center"/>
          </w:tcPr>
          <w:p w14:paraId="45702003">
            <w:pPr>
              <w:jc w:val="center"/>
              <w:rPr>
                <w:rFonts w:hint="eastAsia" w:ascii="宋体" w:hAnsi="宋体" w:eastAsia="宋体" w:cs="宋体"/>
                <w:sz w:val="24"/>
                <w:szCs w:val="24"/>
                <w:highlight w:val="none"/>
              </w:rPr>
            </w:pPr>
          </w:p>
        </w:tc>
        <w:tc>
          <w:tcPr>
            <w:tcW w:w="764" w:type="pct"/>
            <w:tcBorders>
              <w:top w:val="single" w:color="auto" w:sz="6" w:space="0"/>
              <w:left w:val="single" w:color="auto" w:sz="6" w:space="0"/>
              <w:bottom w:val="single" w:color="auto" w:sz="4" w:space="0"/>
              <w:right w:val="single" w:color="auto" w:sz="6" w:space="0"/>
            </w:tcBorders>
            <w:vAlign w:val="center"/>
          </w:tcPr>
          <w:p w14:paraId="197FB8E0">
            <w:pPr>
              <w:jc w:val="center"/>
              <w:rPr>
                <w:rFonts w:hint="eastAsia" w:ascii="宋体" w:hAnsi="宋体" w:eastAsia="宋体" w:cs="宋体"/>
                <w:sz w:val="24"/>
                <w:szCs w:val="24"/>
                <w:highlight w:val="none"/>
              </w:rPr>
            </w:pPr>
          </w:p>
        </w:tc>
        <w:tc>
          <w:tcPr>
            <w:tcW w:w="766" w:type="pct"/>
            <w:tcBorders>
              <w:top w:val="single" w:color="auto" w:sz="6" w:space="0"/>
              <w:left w:val="single" w:color="auto" w:sz="6" w:space="0"/>
              <w:bottom w:val="single" w:color="auto" w:sz="4" w:space="0"/>
              <w:right w:val="single" w:color="auto" w:sz="6" w:space="0"/>
            </w:tcBorders>
            <w:vAlign w:val="center"/>
          </w:tcPr>
          <w:p w14:paraId="77FDFBDF">
            <w:pPr>
              <w:jc w:val="center"/>
              <w:rPr>
                <w:rFonts w:hint="eastAsia" w:ascii="宋体" w:hAnsi="宋体" w:eastAsia="宋体" w:cs="宋体"/>
                <w:sz w:val="24"/>
                <w:szCs w:val="24"/>
                <w:highlight w:val="none"/>
              </w:rPr>
            </w:pPr>
          </w:p>
        </w:tc>
      </w:tr>
      <w:tr w14:paraId="1E80021C">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46194988">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4EE11A7B">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w:t>
            </w:r>
          </w:p>
        </w:tc>
        <w:tc>
          <w:tcPr>
            <w:tcW w:w="2055" w:type="dxa"/>
            <w:tcBorders>
              <w:top w:val="single" w:color="auto" w:sz="4" w:space="0"/>
              <w:left w:val="single" w:color="auto" w:sz="6" w:space="0"/>
              <w:bottom w:val="single" w:color="auto" w:sz="6" w:space="0"/>
              <w:right w:val="single" w:color="auto" w:sz="4" w:space="0"/>
            </w:tcBorders>
            <w:vAlign w:val="center"/>
          </w:tcPr>
          <w:p w14:paraId="3E7B2ABE">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松材线虫病</w:t>
            </w:r>
            <w:r>
              <w:rPr>
                <w:rFonts w:hint="eastAsia" w:ascii="宋体" w:hAnsi="Times New Roman" w:eastAsia="宋体" w:cs="Times New Roman"/>
                <w:b/>
                <w:bCs/>
                <w:kern w:val="0"/>
                <w:sz w:val="24"/>
                <w:szCs w:val="20"/>
                <w:highlight w:val="none"/>
                <w:lang w:val="en-US" w:eastAsia="zh-CN" w:bidi="ar-SA"/>
              </w:rPr>
              <w:t>监测与防控防治服务</w:t>
            </w:r>
          </w:p>
        </w:tc>
        <w:tc>
          <w:tcPr>
            <w:tcW w:w="821" w:type="pct"/>
            <w:tcBorders>
              <w:top w:val="single" w:color="auto" w:sz="4" w:space="0"/>
              <w:left w:val="single" w:color="auto" w:sz="4" w:space="0"/>
              <w:bottom w:val="single" w:color="auto" w:sz="6" w:space="0"/>
              <w:right w:val="single" w:color="auto" w:sz="6" w:space="0"/>
            </w:tcBorders>
            <w:vAlign w:val="center"/>
          </w:tcPr>
          <w:p w14:paraId="1C9C3496">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56E02C46">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34A1E04B">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03031085">
            <w:pPr>
              <w:jc w:val="center"/>
              <w:rPr>
                <w:rFonts w:hint="eastAsia" w:ascii="宋体" w:hAnsi="宋体" w:eastAsia="宋体" w:cs="宋体"/>
                <w:sz w:val="24"/>
                <w:szCs w:val="24"/>
                <w:highlight w:val="none"/>
              </w:rPr>
            </w:pPr>
          </w:p>
        </w:tc>
      </w:tr>
      <w:tr w14:paraId="4A715ACC">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18969356">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1CA6786A">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w:t>
            </w:r>
          </w:p>
        </w:tc>
        <w:tc>
          <w:tcPr>
            <w:tcW w:w="2055" w:type="dxa"/>
            <w:tcBorders>
              <w:top w:val="single" w:color="auto" w:sz="4" w:space="0"/>
              <w:left w:val="single" w:color="auto" w:sz="6" w:space="0"/>
              <w:bottom w:val="single" w:color="auto" w:sz="6" w:space="0"/>
              <w:right w:val="single" w:color="auto" w:sz="4" w:space="0"/>
            </w:tcBorders>
            <w:vAlign w:val="center"/>
          </w:tcPr>
          <w:p w14:paraId="61F46B1F">
            <w:pPr>
              <w:jc w:val="center"/>
              <w:rPr>
                <w:rFonts w:hint="eastAsia" w:ascii="宋体" w:hAnsi="宋体" w:eastAsia="宋体" w:cs="宋体"/>
                <w:b/>
                <w:bCs/>
                <w:sz w:val="24"/>
                <w:szCs w:val="24"/>
                <w:highlight w:val="none"/>
              </w:rPr>
            </w:pPr>
            <w:r>
              <w:rPr>
                <w:rFonts w:hint="eastAsia" w:ascii="宋体" w:hAnsi="宋体" w:eastAsia="宋体" w:cs="宋体"/>
                <w:b/>
                <w:bCs/>
                <w:i w:val="0"/>
                <w:iCs w:val="0"/>
                <w:color w:val="000000"/>
                <w:kern w:val="0"/>
                <w:sz w:val="24"/>
                <w:szCs w:val="24"/>
                <w:highlight w:val="none"/>
                <w:u w:val="none"/>
                <w:lang w:val="en-US" w:eastAsia="zh-CN" w:bidi="ar"/>
              </w:rPr>
              <w:t>其他害虫</w:t>
            </w:r>
            <w:r>
              <w:rPr>
                <w:rFonts w:hint="eastAsia" w:ascii="宋体" w:hAnsi="Times New Roman" w:eastAsia="宋体" w:cs="Times New Roman"/>
                <w:b/>
                <w:bCs/>
                <w:kern w:val="0"/>
                <w:sz w:val="24"/>
                <w:szCs w:val="20"/>
                <w:highlight w:val="none"/>
                <w:lang w:val="en-US" w:eastAsia="zh-CN" w:bidi="ar-SA"/>
              </w:rPr>
              <w:t>监测与防控防治服务</w:t>
            </w:r>
          </w:p>
        </w:tc>
        <w:tc>
          <w:tcPr>
            <w:tcW w:w="821" w:type="pct"/>
            <w:tcBorders>
              <w:top w:val="single" w:color="auto" w:sz="4" w:space="0"/>
              <w:left w:val="single" w:color="auto" w:sz="4" w:space="0"/>
              <w:bottom w:val="single" w:color="auto" w:sz="6" w:space="0"/>
              <w:right w:val="single" w:color="auto" w:sz="6" w:space="0"/>
            </w:tcBorders>
            <w:vAlign w:val="center"/>
          </w:tcPr>
          <w:p w14:paraId="3AA21231">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1CDD6563">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0523F5DB">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3B348C88">
            <w:pPr>
              <w:jc w:val="center"/>
              <w:rPr>
                <w:rFonts w:hint="eastAsia" w:ascii="宋体" w:hAnsi="宋体" w:eastAsia="宋体" w:cs="宋体"/>
                <w:sz w:val="24"/>
                <w:szCs w:val="24"/>
                <w:highlight w:val="none"/>
              </w:rPr>
            </w:pPr>
          </w:p>
        </w:tc>
      </w:tr>
      <w:tr w14:paraId="5A890F95">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5B3A906A">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7AB0C4DD">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4</w:t>
            </w:r>
          </w:p>
        </w:tc>
        <w:tc>
          <w:tcPr>
            <w:tcW w:w="2055" w:type="dxa"/>
            <w:tcBorders>
              <w:top w:val="single" w:color="auto" w:sz="4" w:space="0"/>
              <w:left w:val="single" w:color="auto" w:sz="6" w:space="0"/>
              <w:bottom w:val="single" w:color="auto" w:sz="6" w:space="0"/>
              <w:right w:val="single" w:color="auto" w:sz="4" w:space="0"/>
            </w:tcBorders>
            <w:vAlign w:val="center"/>
          </w:tcPr>
          <w:p w14:paraId="027AAC69">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绿化苗木及风险点除治消杀</w:t>
            </w:r>
            <w:r>
              <w:rPr>
                <w:rFonts w:hint="eastAsia" w:ascii="宋体" w:hAnsi="宋体" w:eastAsia="宋体" w:cs="宋体"/>
                <w:b/>
                <w:bCs/>
                <w:sz w:val="24"/>
                <w:szCs w:val="24"/>
                <w:highlight w:val="none"/>
                <w:lang w:val="en-US" w:eastAsia="zh-CN"/>
              </w:rPr>
              <w:t>服务</w:t>
            </w:r>
          </w:p>
        </w:tc>
        <w:tc>
          <w:tcPr>
            <w:tcW w:w="821" w:type="pct"/>
            <w:tcBorders>
              <w:top w:val="single" w:color="auto" w:sz="4" w:space="0"/>
              <w:left w:val="single" w:color="auto" w:sz="4" w:space="0"/>
              <w:bottom w:val="single" w:color="auto" w:sz="6" w:space="0"/>
              <w:right w:val="single" w:color="auto" w:sz="6" w:space="0"/>
            </w:tcBorders>
            <w:vAlign w:val="center"/>
          </w:tcPr>
          <w:p w14:paraId="783FFCC1">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63A3DFA2">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378852EB">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66BB83DC">
            <w:pPr>
              <w:jc w:val="center"/>
              <w:rPr>
                <w:rFonts w:hint="eastAsia" w:ascii="宋体" w:hAnsi="宋体" w:eastAsia="宋体" w:cs="宋体"/>
                <w:sz w:val="24"/>
                <w:szCs w:val="24"/>
                <w:highlight w:val="none"/>
              </w:rPr>
            </w:pPr>
          </w:p>
        </w:tc>
      </w:tr>
      <w:tr w14:paraId="0724FB47">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0816CCC7">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258502F2">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5</w:t>
            </w:r>
          </w:p>
        </w:tc>
        <w:tc>
          <w:tcPr>
            <w:tcW w:w="2055" w:type="dxa"/>
            <w:tcBorders>
              <w:top w:val="single" w:color="auto" w:sz="4" w:space="0"/>
              <w:left w:val="single" w:color="auto" w:sz="6" w:space="0"/>
              <w:bottom w:val="single" w:color="auto" w:sz="6" w:space="0"/>
              <w:right w:val="single" w:color="auto" w:sz="4" w:space="0"/>
            </w:tcBorders>
            <w:vAlign w:val="center"/>
          </w:tcPr>
          <w:p w14:paraId="63CFD5D3">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林业有害生物监测普查、</w:t>
            </w:r>
            <w:r>
              <w:rPr>
                <w:rFonts w:hint="eastAsia" w:ascii="宋体" w:hAnsi="宋体" w:eastAsia="宋体" w:cs="宋体"/>
                <w:b/>
                <w:bCs/>
                <w:sz w:val="24"/>
                <w:szCs w:val="24"/>
                <w:highlight w:val="none"/>
                <w:lang w:val="en-US" w:eastAsia="zh-CN"/>
              </w:rPr>
              <w:t>调运查验技术服务</w:t>
            </w:r>
          </w:p>
        </w:tc>
        <w:tc>
          <w:tcPr>
            <w:tcW w:w="821" w:type="pct"/>
            <w:tcBorders>
              <w:top w:val="single" w:color="auto" w:sz="4" w:space="0"/>
              <w:left w:val="single" w:color="auto" w:sz="4" w:space="0"/>
              <w:bottom w:val="single" w:color="auto" w:sz="6" w:space="0"/>
              <w:right w:val="single" w:color="auto" w:sz="6" w:space="0"/>
            </w:tcBorders>
            <w:vAlign w:val="center"/>
          </w:tcPr>
          <w:p w14:paraId="19A69920">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4B829C78">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5A010C6D">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3EFD4E78">
            <w:pPr>
              <w:jc w:val="center"/>
              <w:rPr>
                <w:rFonts w:hint="eastAsia" w:ascii="宋体" w:hAnsi="宋体" w:eastAsia="宋体" w:cs="宋体"/>
                <w:sz w:val="24"/>
                <w:szCs w:val="24"/>
                <w:highlight w:val="none"/>
              </w:rPr>
            </w:pPr>
          </w:p>
        </w:tc>
      </w:tr>
      <w:tr w14:paraId="14A98E48">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58EE3EC1">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59DE5B61">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6</w:t>
            </w:r>
          </w:p>
        </w:tc>
        <w:tc>
          <w:tcPr>
            <w:tcW w:w="2055" w:type="dxa"/>
            <w:tcBorders>
              <w:top w:val="single" w:color="auto" w:sz="4" w:space="0"/>
              <w:left w:val="single" w:color="auto" w:sz="6" w:space="0"/>
              <w:bottom w:val="single" w:color="auto" w:sz="6" w:space="0"/>
              <w:right w:val="single" w:color="auto" w:sz="4" w:space="0"/>
            </w:tcBorders>
            <w:vAlign w:val="center"/>
          </w:tcPr>
          <w:p w14:paraId="08D20FA1">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陆生野生动物救助及疫源疫病的监测</w:t>
            </w:r>
            <w:r>
              <w:rPr>
                <w:rFonts w:hint="eastAsia" w:ascii="宋体" w:hAnsi="宋体" w:eastAsia="宋体" w:cs="宋体"/>
                <w:b/>
                <w:bCs/>
                <w:sz w:val="24"/>
                <w:szCs w:val="24"/>
                <w:highlight w:val="none"/>
                <w:lang w:val="en-US" w:eastAsia="zh-CN"/>
              </w:rPr>
              <w:t>服务</w:t>
            </w:r>
          </w:p>
        </w:tc>
        <w:tc>
          <w:tcPr>
            <w:tcW w:w="821" w:type="pct"/>
            <w:tcBorders>
              <w:top w:val="single" w:color="auto" w:sz="4" w:space="0"/>
              <w:left w:val="single" w:color="auto" w:sz="4" w:space="0"/>
              <w:bottom w:val="single" w:color="auto" w:sz="6" w:space="0"/>
              <w:right w:val="single" w:color="auto" w:sz="6" w:space="0"/>
            </w:tcBorders>
            <w:vAlign w:val="center"/>
          </w:tcPr>
          <w:p w14:paraId="1886C4BC">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6989A65B">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6513190E">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2EA91C88">
            <w:pPr>
              <w:jc w:val="center"/>
              <w:rPr>
                <w:rFonts w:hint="eastAsia" w:ascii="宋体" w:hAnsi="宋体" w:eastAsia="宋体" w:cs="宋体"/>
                <w:sz w:val="24"/>
                <w:szCs w:val="24"/>
                <w:highlight w:val="none"/>
              </w:rPr>
            </w:pPr>
          </w:p>
        </w:tc>
      </w:tr>
      <w:tr w14:paraId="0D24696B">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361B29EE">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7CDF71D6">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7</w:t>
            </w:r>
          </w:p>
        </w:tc>
        <w:tc>
          <w:tcPr>
            <w:tcW w:w="2055" w:type="dxa"/>
            <w:tcBorders>
              <w:top w:val="single" w:color="auto" w:sz="4" w:space="0"/>
              <w:left w:val="single" w:color="auto" w:sz="6" w:space="0"/>
              <w:bottom w:val="single" w:color="auto" w:sz="6" w:space="0"/>
              <w:right w:val="single" w:color="auto" w:sz="4" w:space="0"/>
            </w:tcBorders>
            <w:vAlign w:val="center"/>
          </w:tcPr>
          <w:p w14:paraId="6A15970E">
            <w:pPr>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巡查服务</w:t>
            </w:r>
          </w:p>
        </w:tc>
        <w:tc>
          <w:tcPr>
            <w:tcW w:w="821" w:type="pct"/>
            <w:tcBorders>
              <w:top w:val="single" w:color="auto" w:sz="4" w:space="0"/>
              <w:left w:val="single" w:color="auto" w:sz="4" w:space="0"/>
              <w:bottom w:val="single" w:color="auto" w:sz="6" w:space="0"/>
              <w:right w:val="single" w:color="auto" w:sz="6" w:space="0"/>
            </w:tcBorders>
            <w:vAlign w:val="center"/>
          </w:tcPr>
          <w:p w14:paraId="2C6B1793">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2AEFB4B5">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703B4D76">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7592F227">
            <w:pPr>
              <w:jc w:val="center"/>
              <w:rPr>
                <w:rFonts w:hint="eastAsia" w:ascii="宋体" w:hAnsi="宋体" w:eastAsia="宋体" w:cs="宋体"/>
                <w:sz w:val="24"/>
                <w:szCs w:val="24"/>
                <w:highlight w:val="none"/>
              </w:rPr>
            </w:pPr>
          </w:p>
        </w:tc>
      </w:tr>
      <w:tr w14:paraId="14D338B0">
        <w:tblPrEx>
          <w:tblCellMar>
            <w:top w:w="0" w:type="dxa"/>
            <w:left w:w="28" w:type="dxa"/>
            <w:bottom w:w="0" w:type="dxa"/>
            <w:right w:w="28" w:type="dxa"/>
          </w:tblCellMar>
        </w:tblPrEx>
        <w:trPr>
          <w:trHeight w:val="531" w:hRule="atLeast"/>
          <w:jc w:val="center"/>
        </w:trPr>
        <w:tc>
          <w:tcPr>
            <w:tcW w:w="328" w:type="pct"/>
            <w:vMerge w:val="continue"/>
            <w:tcBorders>
              <w:left w:val="single" w:color="auto" w:sz="6" w:space="0"/>
              <w:right w:val="single" w:color="auto" w:sz="4" w:space="0"/>
            </w:tcBorders>
            <w:vAlign w:val="center"/>
          </w:tcPr>
          <w:p w14:paraId="6AAFB016">
            <w:pPr>
              <w:spacing w:before="312" w:beforeLines="100"/>
              <w:jc w:val="center"/>
              <w:rPr>
                <w:rFonts w:hint="eastAsia" w:ascii="宋体" w:hAnsi="宋体" w:eastAsia="宋体" w:cs="宋体"/>
                <w:b/>
                <w:bCs/>
                <w:sz w:val="24"/>
                <w:szCs w:val="24"/>
                <w:highlight w:val="none"/>
              </w:rPr>
            </w:pPr>
          </w:p>
        </w:tc>
        <w:tc>
          <w:tcPr>
            <w:tcW w:w="339" w:type="pct"/>
            <w:tcBorders>
              <w:top w:val="single" w:color="auto" w:sz="4" w:space="0"/>
              <w:left w:val="single" w:color="auto" w:sz="4" w:space="0"/>
              <w:bottom w:val="single" w:color="auto" w:sz="6" w:space="0"/>
            </w:tcBorders>
            <w:vAlign w:val="center"/>
          </w:tcPr>
          <w:p w14:paraId="1FB0C6C0">
            <w:pPr>
              <w:jc w:val="center"/>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8</w:t>
            </w:r>
          </w:p>
        </w:tc>
        <w:tc>
          <w:tcPr>
            <w:tcW w:w="2055" w:type="dxa"/>
            <w:tcBorders>
              <w:top w:val="single" w:color="auto" w:sz="4" w:space="0"/>
              <w:left w:val="single" w:color="auto" w:sz="6" w:space="0"/>
              <w:bottom w:val="single" w:color="auto" w:sz="6" w:space="0"/>
              <w:right w:val="single" w:color="auto" w:sz="4" w:space="0"/>
            </w:tcBorders>
            <w:vAlign w:val="center"/>
          </w:tcPr>
          <w:p w14:paraId="713D8AA9">
            <w:pPr>
              <w:jc w:val="center"/>
              <w:rPr>
                <w:rFonts w:hint="default"/>
                <w:b/>
                <w:bCs/>
                <w:highlight w:val="none"/>
                <w:lang w:val="en-US" w:eastAsia="zh-CN"/>
              </w:rPr>
            </w:pPr>
            <w:r>
              <w:rPr>
                <w:rFonts w:hint="eastAsia" w:ascii="宋体" w:hAnsi="宋体" w:eastAsia="宋体" w:cs="宋体"/>
                <w:b/>
                <w:bCs/>
                <w:sz w:val="24"/>
                <w:szCs w:val="24"/>
                <w:highlight w:val="none"/>
                <w:lang w:val="en-US" w:eastAsia="zh-CN"/>
              </w:rPr>
              <w:t>宣传培训服务</w:t>
            </w:r>
          </w:p>
        </w:tc>
        <w:tc>
          <w:tcPr>
            <w:tcW w:w="821" w:type="pct"/>
            <w:tcBorders>
              <w:top w:val="single" w:color="auto" w:sz="4" w:space="0"/>
              <w:left w:val="single" w:color="auto" w:sz="4" w:space="0"/>
              <w:bottom w:val="single" w:color="auto" w:sz="6" w:space="0"/>
              <w:right w:val="single" w:color="auto" w:sz="6" w:space="0"/>
            </w:tcBorders>
            <w:vAlign w:val="center"/>
          </w:tcPr>
          <w:p w14:paraId="0450ADDF">
            <w:pPr>
              <w:jc w:val="center"/>
              <w:rPr>
                <w:rFonts w:hint="eastAsia" w:ascii="宋体" w:hAnsi="宋体" w:eastAsia="宋体" w:cs="宋体"/>
                <w:sz w:val="24"/>
                <w:szCs w:val="24"/>
                <w:highlight w:val="none"/>
              </w:rPr>
            </w:pPr>
          </w:p>
        </w:tc>
        <w:tc>
          <w:tcPr>
            <w:tcW w:w="887" w:type="pct"/>
            <w:tcBorders>
              <w:top w:val="single" w:color="auto" w:sz="4" w:space="0"/>
              <w:left w:val="single" w:color="auto" w:sz="6" w:space="0"/>
              <w:bottom w:val="single" w:color="auto" w:sz="6" w:space="0"/>
              <w:right w:val="single" w:color="auto" w:sz="6" w:space="0"/>
            </w:tcBorders>
            <w:vAlign w:val="center"/>
          </w:tcPr>
          <w:p w14:paraId="4AE9EBA0">
            <w:pPr>
              <w:jc w:val="center"/>
              <w:rPr>
                <w:rFonts w:hint="eastAsia" w:ascii="宋体" w:hAnsi="宋体" w:eastAsia="宋体" w:cs="宋体"/>
                <w:sz w:val="24"/>
                <w:szCs w:val="24"/>
                <w:highlight w:val="none"/>
              </w:rPr>
            </w:pPr>
          </w:p>
        </w:tc>
        <w:tc>
          <w:tcPr>
            <w:tcW w:w="764" w:type="pct"/>
            <w:tcBorders>
              <w:top w:val="single" w:color="auto" w:sz="4" w:space="0"/>
              <w:left w:val="single" w:color="auto" w:sz="6" w:space="0"/>
              <w:bottom w:val="single" w:color="auto" w:sz="6" w:space="0"/>
              <w:right w:val="single" w:color="auto" w:sz="6" w:space="0"/>
            </w:tcBorders>
            <w:vAlign w:val="center"/>
          </w:tcPr>
          <w:p w14:paraId="3410D146">
            <w:pPr>
              <w:jc w:val="center"/>
              <w:rPr>
                <w:rFonts w:hint="eastAsia" w:ascii="宋体" w:hAnsi="宋体" w:eastAsia="宋体" w:cs="宋体"/>
                <w:sz w:val="24"/>
                <w:szCs w:val="24"/>
                <w:highlight w:val="none"/>
              </w:rPr>
            </w:pPr>
          </w:p>
        </w:tc>
        <w:tc>
          <w:tcPr>
            <w:tcW w:w="766" w:type="pct"/>
            <w:tcBorders>
              <w:top w:val="single" w:color="auto" w:sz="4" w:space="0"/>
              <w:left w:val="single" w:color="auto" w:sz="6" w:space="0"/>
              <w:bottom w:val="single" w:color="auto" w:sz="6" w:space="0"/>
              <w:right w:val="single" w:color="auto" w:sz="6" w:space="0"/>
            </w:tcBorders>
            <w:vAlign w:val="center"/>
          </w:tcPr>
          <w:p w14:paraId="2D8B12C4">
            <w:pPr>
              <w:jc w:val="center"/>
              <w:rPr>
                <w:rFonts w:hint="eastAsia" w:ascii="宋体" w:hAnsi="宋体" w:eastAsia="宋体" w:cs="宋体"/>
                <w:sz w:val="24"/>
                <w:szCs w:val="24"/>
                <w:highlight w:val="none"/>
              </w:rPr>
            </w:pPr>
          </w:p>
        </w:tc>
      </w:tr>
      <w:tr w14:paraId="5C12B29F">
        <w:tblPrEx>
          <w:tblCellMar>
            <w:top w:w="0" w:type="dxa"/>
            <w:left w:w="28" w:type="dxa"/>
            <w:bottom w:w="0" w:type="dxa"/>
            <w:right w:w="28" w:type="dxa"/>
          </w:tblCellMar>
        </w:tblPrEx>
        <w:trPr>
          <w:trHeight w:val="531" w:hRule="atLeast"/>
          <w:jc w:val="center"/>
        </w:trPr>
        <w:tc>
          <w:tcPr>
            <w:tcW w:w="1760" w:type="pct"/>
            <w:gridSpan w:val="3"/>
            <w:tcBorders>
              <w:top w:val="single" w:color="auto" w:sz="4" w:space="0"/>
              <w:left w:val="single" w:color="auto" w:sz="6" w:space="0"/>
              <w:bottom w:val="single" w:color="auto" w:sz="6" w:space="0"/>
            </w:tcBorders>
            <w:vAlign w:val="center"/>
          </w:tcPr>
          <w:p w14:paraId="08A3BE7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报价</w:t>
            </w:r>
          </w:p>
        </w:tc>
        <w:tc>
          <w:tcPr>
            <w:tcW w:w="3239" w:type="pct"/>
            <w:gridSpan w:val="4"/>
            <w:tcBorders>
              <w:top w:val="single" w:color="auto" w:sz="4" w:space="0"/>
              <w:left w:val="single" w:color="auto" w:sz="6" w:space="0"/>
              <w:bottom w:val="single" w:color="auto" w:sz="6" w:space="0"/>
              <w:right w:val="single" w:color="auto" w:sz="6" w:space="0"/>
            </w:tcBorders>
            <w:vAlign w:val="center"/>
          </w:tcPr>
          <w:p w14:paraId="7FDD4A7A">
            <w:pPr>
              <w:spacing w:before="156" w:beforeLines="5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大写：                           小写：</w:t>
            </w:r>
          </w:p>
        </w:tc>
      </w:tr>
      <w:tr w14:paraId="5368F3B5">
        <w:tblPrEx>
          <w:tblCellMar>
            <w:top w:w="0" w:type="dxa"/>
            <w:left w:w="28" w:type="dxa"/>
            <w:bottom w:w="0" w:type="dxa"/>
            <w:right w:w="28" w:type="dxa"/>
          </w:tblCellMar>
        </w:tblPrEx>
        <w:trPr>
          <w:trHeight w:val="531" w:hRule="atLeast"/>
          <w:jc w:val="center"/>
        </w:trPr>
        <w:tc>
          <w:tcPr>
            <w:tcW w:w="1760" w:type="pct"/>
            <w:gridSpan w:val="3"/>
            <w:tcBorders>
              <w:top w:val="single" w:color="auto" w:sz="4" w:space="0"/>
              <w:left w:val="single" w:color="auto" w:sz="6" w:space="0"/>
              <w:bottom w:val="single" w:color="auto" w:sz="6" w:space="0"/>
            </w:tcBorders>
            <w:vAlign w:val="center"/>
          </w:tcPr>
          <w:p w14:paraId="179F7F1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c>
          <w:tcPr>
            <w:tcW w:w="3239" w:type="pct"/>
            <w:gridSpan w:val="4"/>
            <w:tcBorders>
              <w:top w:val="single" w:color="auto" w:sz="4" w:space="0"/>
              <w:left w:val="single" w:color="auto" w:sz="6" w:space="0"/>
              <w:bottom w:val="single" w:color="auto" w:sz="6" w:space="0"/>
              <w:right w:val="single" w:color="auto" w:sz="6" w:space="0"/>
            </w:tcBorders>
            <w:vAlign w:val="center"/>
          </w:tcPr>
          <w:p w14:paraId="13BF2A7B">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保留小数点后两位。</w:t>
            </w:r>
          </w:p>
        </w:tc>
      </w:tr>
    </w:tbl>
    <w:p w14:paraId="75CF44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D5C37"/>
    <w:rsid w:val="267D5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9"/>
    <w:qFormat/>
    <w:uiPriority w:val="0"/>
    <w:pPr>
      <w:keepNext/>
      <w:keepLines/>
      <w:widowControl/>
      <w:spacing w:before="340" w:after="330" w:line="576" w:lineRule="auto"/>
      <w:jc w:val="left"/>
      <w:outlineLvl w:val="0"/>
    </w:pPr>
    <w:rPr>
      <w:rFonts w:ascii="Times New Roman" w:hAnsi="Times New Roman" w:eastAsia="宋体" w:cs="Times New Roman"/>
      <w:b/>
      <w:kern w:val="44"/>
      <w:sz w:val="44"/>
      <w:szCs w:val="2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4">
    <w:name w:val="Normal Indent"/>
    <w:basedOn w:val="1"/>
    <w:qFormat/>
    <w:uiPriority w:val="0"/>
    <w:pPr>
      <w:widowControl/>
      <w:spacing w:line="300" w:lineRule="auto"/>
      <w:ind w:firstLine="420" w:firstLineChars="200"/>
      <w:jc w:val="left"/>
    </w:pPr>
    <w:rPr>
      <w:rFonts w:ascii="Arial Unicode MS" w:hAnsi="Times New Roman" w:eastAsia="宋体" w:cs="Times New Roman"/>
      <w:szCs w:val="24"/>
    </w:rPr>
  </w:style>
  <w:style w:type="paragraph" w:styleId="5">
    <w:name w:val="Body Text"/>
    <w:basedOn w:val="1"/>
    <w:unhideWhenUsed/>
    <w:qFormat/>
    <w:uiPriority w:val="0"/>
    <w:pPr>
      <w:widowControl/>
      <w:spacing w:after="120" w:line="360" w:lineRule="auto"/>
      <w:jc w:val="left"/>
    </w:pPr>
    <w:rPr>
      <w:rFonts w:ascii="宋体" w:hAnsi="Times New Roman" w:eastAsia="宋体" w:cs="Times New Roman"/>
      <w:kern w:val="0"/>
      <w:sz w:val="24"/>
      <w:szCs w:val="20"/>
    </w:rPr>
  </w:style>
  <w:style w:type="paragraph" w:styleId="6">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 w:type="character" w:customStyle="1" w:styleId="9">
    <w:name w:val="标题 1 Char"/>
    <w:basedOn w:val="8"/>
    <w:link w:val="3"/>
    <w:qFormat/>
    <w:uiPriority w:val="0"/>
    <w:rPr>
      <w:rFonts w:ascii="Times New Roman" w:hAnsi="Times New Roman" w:eastAsia="宋体" w:cs="Times New Roman"/>
      <w:b/>
      <w:kern w:val="44"/>
      <w:sz w:val="4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2025-07-10T02:53:00Z</dcterms:created>
  <dc:creator>苍白假面</dc:creator>
  <cp:lastModifiedBy>苍白假面</cp:lastModifiedBy>
  <dcterms:modified xsi:type="dcterms:W3CDTF">2025-07-10T02:54:06Z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5355DFA53CB44942A3D72DC6EA9F3A8E_11</vt:lpwstr>
  </property>
  <property fmtid="{D5CDD505-2E9C-101B-9397-08002B2CF9AE}" pid="4" name="KSOTemplateDocerSaveRecord">
    <vt:lpwstr>eyJoZGlkIjoiY2U1ZTlkNThkYmUxMjkwM2M5Y2E1YWM0NWQ1ZjUwMDUiLCJ1c2VySWQiOiIyNzI4NDY5MDUifQ==</vt:lpwstr>
  </property>
</Properties>
</file>