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版本号：CGZC-2025-05820250710001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西安浐灞国际港2025年度林业综合技术服务项目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CGZC-2025-058</w:t>
      </w:r>
      <w:r>
        <w:br/>
      </w:r>
      <w:r>
        <w:br/>
      </w:r>
      <w:r>
        <w:br/>
      </w:r>
    </w:p>
    <w:p>
      <w:pPr>
        <w:pStyle w:val="null3"/>
        <w:jc w:val="center"/>
        <w:outlineLvl w:val="2"/>
      </w:pPr>
      <w:r>
        <w:rPr>
          <w:rFonts w:ascii="仿宋_GB2312" w:hAnsi="仿宋_GB2312" w:cs="仿宋_GB2312" w:eastAsia="仿宋_GB2312"/>
          <w:sz w:val="28"/>
          <w:b/>
        </w:rPr>
        <w:t>西安浐灞国际港自然资源和规划局</w:t>
      </w:r>
    </w:p>
    <w:p>
      <w:pPr>
        <w:pStyle w:val="null3"/>
        <w:jc w:val="center"/>
        <w:outlineLvl w:val="2"/>
      </w:pPr>
      <w:r>
        <w:rPr>
          <w:rFonts w:ascii="仿宋_GB2312" w:hAnsi="仿宋_GB2312" w:cs="仿宋_GB2312" w:eastAsia="仿宋_GB2312"/>
          <w:sz w:val="28"/>
          <w:b/>
        </w:rPr>
        <w:t>陕西蒿天项目管理有限公司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陕西蒿天项目管理有限公司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西安浐灞国际港自然资源和规划局</w:t>
      </w:r>
      <w:r>
        <w:rPr>
          <w:rFonts w:ascii="仿宋_GB2312" w:hAnsi="仿宋_GB2312" w:cs="仿宋_GB2312" w:eastAsia="仿宋_GB2312"/>
        </w:rPr>
        <w:t>委托，拟对</w:t>
      </w:r>
      <w:r>
        <w:rPr>
          <w:rFonts w:ascii="仿宋_GB2312" w:hAnsi="仿宋_GB2312" w:cs="仿宋_GB2312" w:eastAsia="仿宋_GB2312"/>
        </w:rPr>
        <w:t>西安浐灞国际港2025年度林业综合技术服务项目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CGZC-2025-058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西安浐灞国际港2025年度林业综合技术服务项目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浐灞国际港建成绿地面积2300余万平方米，园区涉及浐河、灞河、渭河三条河流湿地，同时也是候鸟迁徙通道，园区动植物资源丰富。高等植物主要有蒿类、鸡眼草、草木樨、天蓝苜蓿等，绿化树种有法桐、国槐、悬铃木、毛白杨、五角枫、女贞、园柏、柳、白蜡等。野生动物主要有鸬鹚、苍鹭、白鹭、白琵鹭等。协助采购人对浐灞国际港辖区进行林业有害生物监测普查与防控服务、陆生野生动物保护与疫源疫病监测服务、湿地资源监测与保护服务、林地防火巡查服务、古树名木巡查监测服务、宣传培训服务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采购包1（西安浐灞国际港2025年度林业综合技术服务项目）：属于专门面向中小企业采购。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投标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3、联合体：本项目不接受联合体投标；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西安浐灞国际港自然资源和规划局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029-83332305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陕西蒿天项目管理有限公司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西安市雁塔区万象派4号2单元2501室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尚顺谱、林锡之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029-81612268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西安国际港务区管理委员会政府采购管理股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马重霄</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029-83332439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 2.支付方式：中标人应在领取通知书的同时，支付本项目代理服务费。 收款单位：陕西蒿天项目管理有限公司 开户行：中国建设银行股份有限公司西安锦园新世纪支行 账号：61050175390000000337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西安浐灞国际港自然资源和规划局</w:t>
      </w:r>
      <w:r>
        <w:rPr>
          <w:rFonts w:ascii="仿宋_GB2312" w:hAnsi="仿宋_GB2312" w:cs="仿宋_GB2312" w:eastAsia="仿宋_GB2312"/>
        </w:rPr>
        <w:t>和</w:t>
      </w:r>
      <w:r>
        <w:rPr>
          <w:rFonts w:ascii="仿宋_GB2312" w:hAnsi="仿宋_GB2312" w:cs="仿宋_GB2312" w:eastAsia="仿宋_GB2312"/>
        </w:rPr>
        <w:t>陕西蒿天项目管理有限公司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西安浐灞国际港自然资源和规划局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陕西蒿天项目管理有限公司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西安浐灞国际港自然资源和规划局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陕西蒿天项目管理有限公司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联系人：尚顺谱、林锡之</w:t>
      </w:r>
    </w:p>
    <w:p>
      <w:pPr>
        <w:pStyle w:val="null3"/>
      </w:pPr>
      <w:r>
        <w:rPr>
          <w:rFonts w:ascii="仿宋_GB2312" w:hAnsi="仿宋_GB2312" w:cs="仿宋_GB2312" w:eastAsia="仿宋_GB2312"/>
        </w:rPr>
        <w:t>联系电话：029-81612268</w:t>
      </w:r>
    </w:p>
    <w:p>
      <w:pPr>
        <w:pStyle w:val="null3"/>
      </w:pPr>
      <w:r>
        <w:rPr>
          <w:rFonts w:ascii="仿宋_GB2312" w:hAnsi="仿宋_GB2312" w:cs="仿宋_GB2312" w:eastAsia="仿宋_GB2312"/>
        </w:rPr>
        <w:t>地址：西安市雁塔区万象派4号楼2单元2501室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浐灞国际港建成绿地面积2300余万平方米，园区涉及浐河、灞河、渭河三条河流湿地，同时也是候鸟迁徙通道，园区动植物资源丰富。高等植物主要有蒿类、鸡眼草、草木樨、天蓝苜蓿等，绿化树种有法桐、国槐、悬铃木、毛白杨、五角枫、女贞、园柏、柳、白蜡等。野生动物主要有鸬鹚、苍鹭、白鹭、白琵鹭等。协助采购人对浐灞国际港辖区进行林业有害生物监测普查与防控服务、陆生野生动物保护与疫源疫病监测服务、湿地资源监测与保护服务、林地防火巡查服务、古树名木巡查监测服务、宣传培训服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1,990,000.00</w:t>
      </w:r>
    </w:p>
    <w:p>
      <w:pPr>
        <w:pStyle w:val="null3"/>
      </w:pPr>
      <w:r>
        <w:rPr>
          <w:rFonts w:ascii="仿宋_GB2312" w:hAnsi="仿宋_GB2312" w:cs="仿宋_GB2312" w:eastAsia="仿宋_GB2312"/>
        </w:rPr>
        <w:t>采购包最高限价（元）: 1,990,000.00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西安浐灞国际港2025年度林业综合技术服务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标的名称：西安浐灞国际港2025年度林业综合技术服务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一、基本情况</w:t>
            </w:r>
          </w:p>
          <w:p>
            <w:pPr>
              <w:pStyle w:val="null3"/>
            </w:pPr>
            <w:r>
              <w:rPr>
                <w:rFonts w:ascii="仿宋_GB2312" w:hAnsi="仿宋_GB2312" w:cs="仿宋_GB2312" w:eastAsia="仿宋_GB2312"/>
              </w:rPr>
              <w:t>1.西安浐灞国际建成绿地面积2300余万平方米，园区涉及浐河、灞河、渭河三条河流湿地，同时也是候鸟迁徙通道，园区动植物资源丰富。高等植物主要有蒿类、鸡眼草、草木樨、天蓝苜蓿等，绿化树种有法桐、国槐、悬铃木、毛白杨、五角枫、女贞、园柏、柳、白蜡等。野生动物主要有鸬鹚、苍鹭、白鹭、白琵鹭等。</w:t>
            </w:r>
          </w:p>
          <w:p>
            <w:pPr>
              <w:pStyle w:val="null3"/>
            </w:pPr>
            <w:r>
              <w:rPr>
                <w:rFonts w:ascii="仿宋_GB2312" w:hAnsi="仿宋_GB2312" w:cs="仿宋_GB2312" w:eastAsia="仿宋_GB2312"/>
              </w:rPr>
              <w:t>2.2025年美国白蛾风险点位</w:t>
            </w:r>
          </w:p>
          <w:p>
            <w:pPr>
              <w:pStyle w:val="null3"/>
            </w:pPr>
            <w:r>
              <w:rPr>
                <w:rFonts w:ascii="仿宋_GB2312" w:hAnsi="仿宋_GB2312" w:cs="仿宋_GB2312" w:eastAsia="仿宋_GB2312"/>
              </w:rPr>
              <w:t>风险点主要是2024年风险点以及新栽植苗木区域、新建小区和美国白蛾喜食苗圃地周边，防控重点区域：纺渭路南段、奥体大道北段、元朔大道、漕渠路、和畅路、港安路东段，港润路和泰里、港宁路（西安铁路职业技术学院北门）、灞河东路、陶家路、会展一路、浐灞一路、浐灞二路、兴泰北路、欧亚一路、雁鸣北路、草甸路、锦堤四路、灞渭大道北段、渭河南岸片区旅游大道沿线、城区内新开发楼盘等周边，作为重点监测区域。</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二、服务内容</w:t>
            </w:r>
          </w:p>
          <w:p>
            <w:pPr>
              <w:pStyle w:val="null3"/>
            </w:pPr>
            <w:r>
              <w:rPr>
                <w:rFonts w:ascii="仿宋_GB2312" w:hAnsi="仿宋_GB2312" w:cs="仿宋_GB2312" w:eastAsia="仿宋_GB2312"/>
              </w:rPr>
              <w:t>（一）林业有害生物监测普查与防控服务</w:t>
            </w:r>
          </w:p>
          <w:p>
            <w:pPr>
              <w:pStyle w:val="null3"/>
            </w:pPr>
            <w:r>
              <w:rPr>
                <w:rFonts w:ascii="仿宋_GB2312" w:hAnsi="仿宋_GB2312" w:cs="仿宋_GB2312" w:eastAsia="仿宋_GB2312"/>
              </w:rPr>
              <w:t>运用“固定监测点+动态巡查”相结合的模式，协助采购人进行科学布设监测网络。在纺渭路南段、奥体大道北段等重点区域，设置固定虫情监测点，悬挂诱捕器并安排专人进行系统观测记录；同时，组织专业队伍及专车在害虫发生危害期内对全区域开展全面普查，尤其是新栽植苗木区、新建小区及美国白蛾喜食苗圃地等风险区域，每日汇总监测数据，实现有害生物发生情况的实时跟踪与预警。</w:t>
            </w:r>
          </w:p>
          <w:p>
            <w:pPr>
              <w:pStyle w:val="null3"/>
            </w:pPr>
            <w:r>
              <w:rPr>
                <w:rFonts w:ascii="仿宋_GB2312" w:hAnsi="仿宋_GB2312" w:cs="仿宋_GB2312" w:eastAsia="仿宋_GB2312"/>
              </w:rPr>
              <w:t>1.美国白蛾防控</w:t>
            </w:r>
          </w:p>
          <w:p>
            <w:pPr>
              <w:pStyle w:val="null3"/>
            </w:pPr>
            <w:r>
              <w:rPr>
                <w:rFonts w:ascii="仿宋_GB2312" w:hAnsi="仿宋_GB2312" w:cs="仿宋_GB2312" w:eastAsia="仿宋_GB2312"/>
              </w:rPr>
              <w:t>（1）划定风险区、风险点服务</w:t>
            </w:r>
          </w:p>
          <w:p>
            <w:pPr>
              <w:pStyle w:val="null3"/>
            </w:pPr>
            <w:r>
              <w:rPr>
                <w:rFonts w:ascii="仿宋_GB2312" w:hAnsi="仿宋_GB2312" w:cs="仿宋_GB2312" w:eastAsia="仿宋_GB2312"/>
              </w:rPr>
              <w:t>重点监测预防区：渭河南岸、元朔大道、漕渠路、灞渭大道北段、和畅路、港兴二路、纺渭路南段、奥体大道北段、灞河东路、港安路东段、会展一路、浐灞一路、浐灞二路、兴泰北路、欧亚一路、雁鸣一路、锦堤四路以及新建小区周边。</w:t>
            </w:r>
          </w:p>
          <w:p>
            <w:pPr>
              <w:pStyle w:val="null3"/>
            </w:pPr>
            <w:r>
              <w:rPr>
                <w:rFonts w:ascii="仿宋_GB2312" w:hAnsi="仿宋_GB2312" w:cs="仿宋_GB2312" w:eastAsia="仿宋_GB2312"/>
              </w:rPr>
              <w:t>一般预防区：除上述重点监测预防区外其他区域属于一般预防区。</w:t>
            </w:r>
          </w:p>
          <w:p>
            <w:pPr>
              <w:pStyle w:val="null3"/>
            </w:pPr>
            <w:r>
              <w:rPr>
                <w:rFonts w:ascii="仿宋_GB2312" w:hAnsi="仿宋_GB2312" w:cs="仿宋_GB2312" w:eastAsia="仿宋_GB2312"/>
              </w:rPr>
              <w:t>（2）诱捕器悬挂服务</w:t>
            </w:r>
          </w:p>
          <w:p>
            <w:pPr>
              <w:pStyle w:val="null3"/>
            </w:pPr>
            <w:r>
              <w:rPr>
                <w:rFonts w:ascii="仿宋_GB2312" w:hAnsi="仿宋_GB2312" w:cs="仿宋_GB2312" w:eastAsia="仿宋_GB2312"/>
              </w:rPr>
              <w:t>美国白蛾成虫期在全区范围内，按照风险点分布情况，协助采购人在美国白蛾喜食树种重点监测预防区每隔200米悬挂美国白蛾性信息素诱捕器，其他一般预防区500米悬挂美国白蛾性信息素诱捕器，越冬代悬挂高度为1.8～2.5米，第一代和第二代悬挂高度为2.5米以上，固定在离树干30厘米以外的空间，从而对成虫进行诱杀，落实专人，每两天巡查一次，有效进行监测。</w:t>
            </w:r>
          </w:p>
          <w:p>
            <w:pPr>
              <w:pStyle w:val="null3"/>
            </w:pPr>
            <w:r>
              <w:rPr>
                <w:rFonts w:ascii="仿宋_GB2312" w:hAnsi="仿宋_GB2312" w:cs="仿宋_GB2312" w:eastAsia="仿宋_GB2312"/>
              </w:rPr>
              <w:t>计划分四组在秦汉大道、港兴二路等划定区域，悬挂美国白蛾诱捕器1200套，在第一代幼虫网幕结束后及时更换800套美国白蛾性诱剂，并在每套诱捕器悬挂处设置标识警示牌。针对监测发现的虫情，采用生物防治（悬挂监测美国白蛾性诱捕器）、物理防治（人工摘除网幕）与化学防治（无人机精准施药）相结合的综合防控策略，快速控制疫情扩散。</w:t>
            </w:r>
          </w:p>
          <w:p>
            <w:pPr>
              <w:pStyle w:val="null3"/>
            </w:pPr>
            <w:r>
              <w:rPr>
                <w:rFonts w:ascii="仿宋_GB2312" w:hAnsi="仿宋_GB2312" w:cs="仿宋_GB2312" w:eastAsia="仿宋_GB2312"/>
              </w:rPr>
              <w:t>（3）人工普查服务</w:t>
            </w:r>
          </w:p>
          <w:p>
            <w:pPr>
              <w:pStyle w:val="null3"/>
            </w:pPr>
            <w:r>
              <w:rPr>
                <w:rFonts w:ascii="仿宋_GB2312" w:hAnsi="仿宋_GB2312" w:cs="仿宋_GB2312" w:eastAsia="仿宋_GB2312"/>
              </w:rPr>
              <w:t>协助采购人采取人工拉网式排查模式，做到镇不漏村、村不漏户（苗圃）、户不漏树，全方位覆盖，在幼虫网幕期，风险点每周1次全面普查，重点监测预防区10天一次，一般预防区每代不少于2次，重点普查树种为美国白蛾喜食树种核桃、金叶复叶槭、樱花、红叶李、桑树、法桐、白蜡、北美红枫、柿子等。</w:t>
            </w:r>
          </w:p>
          <w:p>
            <w:pPr>
              <w:pStyle w:val="null3"/>
            </w:pPr>
            <w:r>
              <w:rPr>
                <w:rFonts w:ascii="仿宋_GB2312" w:hAnsi="仿宋_GB2312" w:cs="仿宋_GB2312" w:eastAsia="仿宋_GB2312"/>
              </w:rPr>
              <w:t>（4）监测情况报告服务</w:t>
            </w:r>
          </w:p>
          <w:p>
            <w:pPr>
              <w:pStyle w:val="null3"/>
            </w:pPr>
            <w:r>
              <w:rPr>
                <w:rFonts w:ascii="仿宋_GB2312" w:hAnsi="仿宋_GB2312" w:cs="仿宋_GB2312" w:eastAsia="仿宋_GB2312"/>
              </w:rPr>
              <w:t>从4月份开始，协助采购人实行美国白蛾疫情日报制度，每天17:30前将监测普查和防治情况统计汇总由第三方上报浐灞国际港自然资源和规划局。</w:t>
            </w:r>
          </w:p>
          <w:p>
            <w:pPr>
              <w:pStyle w:val="null3"/>
            </w:pPr>
            <w:r>
              <w:rPr>
                <w:rFonts w:ascii="仿宋_GB2312" w:hAnsi="仿宋_GB2312" w:cs="仿宋_GB2312" w:eastAsia="仿宋_GB2312"/>
              </w:rPr>
              <w:t>（5）虫情除治服务</w:t>
            </w:r>
          </w:p>
          <w:p>
            <w:pPr>
              <w:pStyle w:val="null3"/>
            </w:pPr>
            <w:r>
              <w:rPr>
                <w:rFonts w:ascii="仿宋_GB2312" w:hAnsi="仿宋_GB2312" w:cs="仿宋_GB2312" w:eastAsia="仿宋_GB2312"/>
              </w:rPr>
              <w:t>针对普查中发现的风险，协助采购人落实专人，紧盯不放，多次复锁定范围，不断检查，逐次补防压缩的方法进行除治。</w:t>
            </w:r>
          </w:p>
          <w:p>
            <w:pPr>
              <w:pStyle w:val="null3"/>
            </w:pPr>
            <w:r>
              <w:rPr>
                <w:rFonts w:ascii="仿宋_GB2312" w:hAnsi="仿宋_GB2312" w:cs="仿宋_GB2312" w:eastAsia="仿宋_GB2312"/>
              </w:rPr>
              <w:t>对普查中发现的网幕：采用“五步法”（一查、二喷、三剪、四烧、五再喷）进行防治。普查监测发现美国白蛾幼虫网幕，先进行喷药杀死大部分幼虫，剪除网幕，立即烧毁，杀灭害虫，并对网幕周围50米范围内的植物进行全面喷药防治，彻底灭杀害虫，做到彻底除治，干净处理，不留活虫。同时挂牌标记、登记造册，落实防治责任人。</w:t>
            </w:r>
          </w:p>
          <w:p>
            <w:pPr>
              <w:pStyle w:val="null3"/>
            </w:pPr>
            <w:r>
              <w:rPr>
                <w:rFonts w:ascii="仿宋_GB2312" w:hAnsi="仿宋_GB2312" w:cs="仿宋_GB2312" w:eastAsia="仿宋_GB2312"/>
              </w:rPr>
              <w:t>对于危害严重的高大树木：必要时高位截头，清除网幕和害虫，全面喷药。根据虫情态势发展，必要时对一些高大乔木、地面器械无法喷洒的树木和河道区域进行无人机防治。对于达到重度危害，危害严重，已造成灾害的区域，则采取整体喷药除治。</w:t>
            </w:r>
          </w:p>
          <w:p>
            <w:pPr>
              <w:pStyle w:val="null3"/>
            </w:pPr>
            <w:r>
              <w:rPr>
                <w:rFonts w:ascii="仿宋_GB2312" w:hAnsi="仿宋_GB2312" w:cs="仿宋_GB2312" w:eastAsia="仿宋_GB2312"/>
              </w:rPr>
              <w:t>2.松材线虫病预防服务</w:t>
            </w:r>
          </w:p>
          <w:p>
            <w:pPr>
              <w:pStyle w:val="null3"/>
            </w:pPr>
            <w:r>
              <w:rPr>
                <w:rFonts w:ascii="仿宋_GB2312" w:hAnsi="仿宋_GB2312" w:cs="仿宋_GB2312" w:eastAsia="仿宋_GB2312"/>
              </w:rPr>
              <w:t>以松褐天牛为关键防控对象，协助采购人悬挂不少于100套松褐天牛诱捕器、监测巡查是否有病死松树、开展疫木检疫执法等措施，切断松材线虫传播途径，降低疫情发生风险。</w:t>
            </w:r>
          </w:p>
          <w:p>
            <w:pPr>
              <w:pStyle w:val="null3"/>
            </w:pPr>
            <w:r>
              <w:rPr>
                <w:rFonts w:ascii="仿宋_GB2312" w:hAnsi="仿宋_GB2312" w:cs="仿宋_GB2312" w:eastAsia="仿宋_GB2312"/>
              </w:rPr>
              <w:t>3.其他常发林业有害生物监测，协助采购人悬挂不少于100套其他害虫监测诱捕器，对如大小蠹和杨干象等蛀干类有害生物进行日常监测，确保不发生疫情事件。</w:t>
            </w:r>
          </w:p>
          <w:p>
            <w:pPr>
              <w:pStyle w:val="null3"/>
            </w:pPr>
            <w:r>
              <w:rPr>
                <w:rFonts w:ascii="仿宋_GB2312" w:hAnsi="仿宋_GB2312" w:cs="仿宋_GB2312" w:eastAsia="仿宋_GB2312"/>
              </w:rPr>
              <w:t>4.协助采购人在相应诱捕器悬挂处设置不少于1000个标识警示牌。</w:t>
            </w:r>
          </w:p>
          <w:p>
            <w:pPr>
              <w:pStyle w:val="null3"/>
            </w:pPr>
            <w:r>
              <w:rPr>
                <w:rFonts w:ascii="仿宋_GB2312" w:hAnsi="仿宋_GB2312" w:cs="仿宋_GB2312" w:eastAsia="仿宋_GB2312"/>
              </w:rPr>
              <w:t>5.协助采购人对绿化苗木及风险点进行喷药除治消杀工作，使用的药品包括但不限于5%甲氨基阿维菌素·氯氟氰菊酯水乳剂、40%啶虫脒可溶性粉剂、35%螺虫乙酯·氟啶虫酰胺悬浮剂、增效剂等，以实际使用量为准。</w:t>
            </w:r>
          </w:p>
          <w:p>
            <w:pPr>
              <w:pStyle w:val="null3"/>
            </w:pPr>
            <w:r>
              <w:rPr>
                <w:rFonts w:ascii="仿宋_GB2312" w:hAnsi="仿宋_GB2312" w:cs="仿宋_GB2312" w:eastAsia="仿宋_GB2312"/>
              </w:rPr>
              <w:t>（二）协助采购人进行检疫复检服务</w:t>
            </w:r>
          </w:p>
          <w:p>
            <w:pPr>
              <w:pStyle w:val="null3"/>
            </w:pPr>
            <w:r>
              <w:rPr>
                <w:rFonts w:ascii="仿宋_GB2312" w:hAnsi="仿宋_GB2312" w:cs="仿宋_GB2312" w:eastAsia="仿宋_GB2312"/>
              </w:rPr>
              <w:t>1.协助采购人进行产地检疫</w:t>
            </w:r>
          </w:p>
          <w:p>
            <w:pPr>
              <w:pStyle w:val="null3"/>
            </w:pPr>
            <w:r>
              <w:rPr>
                <w:rFonts w:ascii="仿宋_GB2312" w:hAnsi="仿宋_GB2312" w:cs="仿宋_GB2312" w:eastAsia="仿宋_GB2312"/>
              </w:rPr>
              <w:t>协助采购人强化对种苗繁育基地、森林植物及其产品的检疫检查，重点是贮木场及加工、经销场（点）集贸市场等。</w:t>
            </w:r>
          </w:p>
          <w:p>
            <w:pPr>
              <w:pStyle w:val="null3"/>
            </w:pPr>
            <w:r>
              <w:rPr>
                <w:rFonts w:ascii="仿宋_GB2312" w:hAnsi="仿宋_GB2312" w:cs="仿宋_GB2312" w:eastAsia="仿宋_GB2312"/>
              </w:rPr>
              <w:t>2.协助采购人进行调运检疫</w:t>
            </w:r>
          </w:p>
          <w:p>
            <w:pPr>
              <w:pStyle w:val="null3"/>
            </w:pPr>
            <w:r>
              <w:rPr>
                <w:rFonts w:ascii="仿宋_GB2312" w:hAnsi="仿宋_GB2312" w:cs="仿宋_GB2312" w:eastAsia="仿宋_GB2312"/>
              </w:rPr>
              <w:t>协助采购人加强对调入苗木、涉木产品、美国白蛾发生地渣土等的检疫检查和复检，认真执行检疫制度，按照采购人及文件要求，严禁从美国白蛾疫区调入苗木及其他繁殖材料，严厉打击无证调运、违规调运等违法行为，构成犯罪的，移送司法机关进行处理。协助采购人对调出我区木制品加强现场检疫。</w:t>
            </w:r>
          </w:p>
          <w:p>
            <w:pPr>
              <w:pStyle w:val="null3"/>
            </w:pPr>
            <w:r>
              <w:rPr>
                <w:rFonts w:ascii="仿宋_GB2312" w:hAnsi="仿宋_GB2312" w:cs="仿宋_GB2312" w:eastAsia="仿宋_GB2312"/>
              </w:rPr>
              <w:t>3.协助采购人进行检疫流程服务</w:t>
            </w:r>
          </w:p>
          <w:p>
            <w:pPr>
              <w:pStyle w:val="null3"/>
            </w:pPr>
            <w:r>
              <w:rPr>
                <w:rFonts w:ascii="仿宋_GB2312" w:hAnsi="仿宋_GB2312" w:cs="仿宋_GB2312" w:eastAsia="仿宋_GB2312"/>
              </w:rPr>
              <w:t>依托全国林草植物检疫信息化管理与服务平台，协助采购人对辖区新建小区绿化项目、涉木企业苗木调运进行100%查验。严格执行“一扫二查三检疫”流程，扫描植物检疫证书二维码核验信息，查询调运来源地是否为疫区，现场检查苗木枝叶、土球是否携带有害生物。</w:t>
            </w:r>
          </w:p>
          <w:p>
            <w:pPr>
              <w:pStyle w:val="null3"/>
            </w:pPr>
            <w:r>
              <w:rPr>
                <w:rFonts w:ascii="仿宋_GB2312" w:hAnsi="仿宋_GB2312" w:cs="仿宋_GB2312" w:eastAsia="仿宋_GB2312"/>
              </w:rPr>
              <w:t>协助采购人严格要求辖区内各绿化单位，实行报备制度。新建小区和新建市政道路开始绿化阶段，我们会现场与负责人沟通，宣传林业有害生物的危害和普及《植物检疫条例》，要求绿化单位苗木到场提前一天填写表格报备至浐灞国际港自然资源和规划局，苗木到场后联系进行现场复检。</w:t>
            </w:r>
          </w:p>
          <w:p>
            <w:pPr>
              <w:pStyle w:val="null3"/>
            </w:pPr>
            <w:r>
              <w:rPr>
                <w:rFonts w:ascii="仿宋_GB2312" w:hAnsi="仿宋_GB2312" w:cs="仿宋_GB2312" w:eastAsia="仿宋_GB2312"/>
              </w:rPr>
              <w:t>（三）陆生野生动物保护与疫源疫病监测服务</w:t>
            </w:r>
          </w:p>
          <w:p>
            <w:pPr>
              <w:pStyle w:val="null3"/>
            </w:pPr>
            <w:r>
              <w:rPr>
                <w:rFonts w:ascii="仿宋_GB2312" w:hAnsi="仿宋_GB2312" w:cs="仿宋_GB2312" w:eastAsia="仿宋_GB2312"/>
              </w:rPr>
              <w:t>1.协助采购人加强区域内陆生野生动物栖息地和候鸟迁徙通道巡查，配备专业救助设备、人员及车辆，及时对受伤、迷途野生动物开展救助工作。</w:t>
            </w:r>
          </w:p>
          <w:p>
            <w:pPr>
              <w:pStyle w:val="null3"/>
            </w:pPr>
            <w:r>
              <w:rPr>
                <w:rFonts w:ascii="仿宋_GB2312" w:hAnsi="仿宋_GB2312" w:cs="仿宋_GB2312" w:eastAsia="仿宋_GB2312"/>
              </w:rPr>
              <w:t>2.协助采购人建立健全疫源疫病监测网络，在候鸟迁徙通道、湿地等重点区域设置监测样地，安排专人定期巡查，发现异常情况立即上报，确保疫源疫病早发现、早报告、早处置，有效阻断疫病向人类传播途径。</w:t>
            </w:r>
          </w:p>
          <w:p>
            <w:pPr>
              <w:pStyle w:val="null3"/>
            </w:pPr>
            <w:r>
              <w:rPr>
                <w:rFonts w:ascii="仿宋_GB2312" w:hAnsi="仿宋_GB2312" w:cs="仿宋_GB2312" w:eastAsia="仿宋_GB2312"/>
              </w:rPr>
              <w:t>（四）湿地资源监测与保护服务</w:t>
            </w:r>
          </w:p>
          <w:p>
            <w:pPr>
              <w:pStyle w:val="null3"/>
            </w:pPr>
            <w:r>
              <w:rPr>
                <w:rFonts w:ascii="仿宋_GB2312" w:hAnsi="仿宋_GB2312" w:cs="仿宋_GB2312" w:eastAsia="仿宋_GB2312"/>
              </w:rPr>
              <w:t>协助采购人制定湿地资源巡查制度，将巡查频次提升至每周3次，重点对湿地水质、植被覆盖、生物多样性等指标进行监测。对巡查发现的乱搭乱建、采砂等破坏湿地资源行为，联合相关部门24小时内响应处置；对巡查发现的非法侵占湿地、破坏植被等问题，及时联合相关部门进行整治，保障湿地生态系统健康稳定。</w:t>
            </w:r>
          </w:p>
          <w:p>
            <w:pPr>
              <w:pStyle w:val="null3"/>
            </w:pPr>
            <w:r>
              <w:rPr>
                <w:rFonts w:ascii="仿宋_GB2312" w:hAnsi="仿宋_GB2312" w:cs="仿宋_GB2312" w:eastAsia="仿宋_GB2312"/>
              </w:rPr>
              <w:t>（五）林地防火巡查服务</w:t>
            </w:r>
          </w:p>
          <w:p>
            <w:pPr>
              <w:pStyle w:val="null3"/>
            </w:pPr>
            <w:r>
              <w:rPr>
                <w:rFonts w:ascii="仿宋_GB2312" w:hAnsi="仿宋_GB2312" w:cs="仿宋_GB2312" w:eastAsia="仿宋_GB2312"/>
              </w:rPr>
              <w:t>1.协助采购人定期对浐灞国际港辖区内的林地、村庄等易引发火灾的区域进行日常巡查，如发现存在火灾或火灾隐患，及时向上级部门上报。</w:t>
            </w:r>
          </w:p>
          <w:p>
            <w:pPr>
              <w:pStyle w:val="null3"/>
            </w:pPr>
            <w:r>
              <w:rPr>
                <w:rFonts w:ascii="仿宋_GB2312" w:hAnsi="仿宋_GB2312" w:cs="仿宋_GB2312" w:eastAsia="仿宋_GB2312"/>
              </w:rPr>
              <w:t>2.协助采购人做好高温天气监测预报工作，特别要做好高火险天气预报工作。</w:t>
            </w:r>
          </w:p>
          <w:p>
            <w:pPr>
              <w:pStyle w:val="null3"/>
            </w:pPr>
            <w:r>
              <w:rPr>
                <w:rFonts w:ascii="仿宋_GB2312" w:hAnsi="仿宋_GB2312" w:cs="仿宋_GB2312" w:eastAsia="仿宋_GB2312"/>
              </w:rPr>
              <w:t>3.协助采购人加强宣传引导，做好周边村民森林防火宣传教育引导，巡查劝阻林地违规用火行为，进一步增强群众的防火意识。</w:t>
            </w:r>
          </w:p>
          <w:p>
            <w:pPr>
              <w:pStyle w:val="null3"/>
            </w:pPr>
            <w:r>
              <w:rPr>
                <w:rFonts w:ascii="仿宋_GB2312" w:hAnsi="仿宋_GB2312" w:cs="仿宋_GB2312" w:eastAsia="仿宋_GB2312"/>
              </w:rPr>
              <w:t>4.协助采购人积极配合地方责任部门做好消防安全检查工作。</w:t>
            </w:r>
          </w:p>
          <w:p>
            <w:pPr>
              <w:pStyle w:val="null3"/>
            </w:pPr>
            <w:r>
              <w:rPr>
                <w:rFonts w:ascii="仿宋_GB2312" w:hAnsi="仿宋_GB2312" w:cs="仿宋_GB2312" w:eastAsia="仿宋_GB2312"/>
              </w:rPr>
              <w:t>（六）古树名木巡查监测服务</w:t>
            </w:r>
          </w:p>
          <w:p>
            <w:pPr>
              <w:pStyle w:val="null3"/>
            </w:pPr>
            <w:r>
              <w:rPr>
                <w:rFonts w:ascii="仿宋_GB2312" w:hAnsi="仿宋_GB2312" w:cs="仿宋_GB2312" w:eastAsia="仿宋_GB2312"/>
              </w:rPr>
              <w:t>协助采购人根据《西安市古树名木保护条例》对古树名木的保护进行定期检查、指导：</w:t>
            </w:r>
          </w:p>
          <w:p>
            <w:pPr>
              <w:pStyle w:val="null3"/>
            </w:pPr>
            <w:r>
              <w:rPr>
                <w:rFonts w:ascii="仿宋_GB2312" w:hAnsi="仿宋_GB2312" w:cs="仿宋_GB2312" w:eastAsia="仿宋_GB2312"/>
              </w:rPr>
              <w:t>（一）一级保护的古树、名木，至少每3个月进行一次；</w:t>
            </w:r>
          </w:p>
          <w:p>
            <w:pPr>
              <w:pStyle w:val="null3"/>
            </w:pPr>
            <w:r>
              <w:rPr>
                <w:rFonts w:ascii="仿宋_GB2312" w:hAnsi="仿宋_GB2312" w:cs="仿宋_GB2312" w:eastAsia="仿宋_GB2312"/>
              </w:rPr>
              <w:t>（二）二级保护的古树，至少每6个月进行一次；</w:t>
            </w:r>
          </w:p>
          <w:p>
            <w:pPr>
              <w:pStyle w:val="null3"/>
            </w:pPr>
            <w:r>
              <w:rPr>
                <w:rFonts w:ascii="仿宋_GB2312" w:hAnsi="仿宋_GB2312" w:cs="仿宋_GB2312" w:eastAsia="仿宋_GB2312"/>
              </w:rPr>
              <w:t>（三）三级保护的古树，至少每年进行一次。</w:t>
            </w:r>
          </w:p>
          <w:p>
            <w:pPr>
              <w:pStyle w:val="null3"/>
            </w:pPr>
            <w:r>
              <w:rPr>
                <w:rFonts w:ascii="仿宋_GB2312" w:hAnsi="仿宋_GB2312" w:cs="仿宋_GB2312" w:eastAsia="仿宋_GB2312"/>
              </w:rPr>
              <w:t>发现树木生长有异常或者环境状况影响树木生长的，应当先行采取抢救措施，并上报告。</w:t>
            </w:r>
          </w:p>
          <w:p>
            <w:pPr>
              <w:pStyle w:val="null3"/>
            </w:pPr>
            <w:r>
              <w:rPr>
                <w:rFonts w:ascii="仿宋_GB2312" w:hAnsi="仿宋_GB2312" w:cs="仿宋_GB2312" w:eastAsia="仿宋_GB2312"/>
              </w:rPr>
              <w:t>（七）上述各工作项目宣传培训服务</w:t>
            </w:r>
          </w:p>
          <w:p>
            <w:pPr>
              <w:pStyle w:val="null3"/>
            </w:pPr>
            <w:r>
              <w:rPr>
                <w:rFonts w:ascii="仿宋_GB2312" w:hAnsi="仿宋_GB2312" w:cs="仿宋_GB2312" w:eastAsia="仿宋_GB2312"/>
              </w:rPr>
              <w:t>在服务期内安排专人协助采购人在浐灞国际港区域内进行宣传，分发不少于5000册野生动植物保护册，同时组织不少于2场有害生物培训会议，相应工作内容记录成册，服务期结束后交于采购人，作为结算依据。</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三、项目目标</w:t>
            </w:r>
          </w:p>
          <w:p>
            <w:pPr>
              <w:pStyle w:val="null3"/>
            </w:pPr>
            <w:r>
              <w:rPr>
                <w:rFonts w:ascii="仿宋_GB2312" w:hAnsi="仿宋_GB2312" w:cs="仿宋_GB2312" w:eastAsia="仿宋_GB2312"/>
              </w:rPr>
              <w:t>（一）总体目标</w:t>
            </w:r>
          </w:p>
          <w:p>
            <w:pPr>
              <w:pStyle w:val="null3"/>
            </w:pPr>
            <w:r>
              <w:rPr>
                <w:rFonts w:ascii="仿宋_GB2312" w:hAnsi="仿宋_GB2312" w:cs="仿宋_GB2312" w:eastAsia="仿宋_GB2312"/>
              </w:rPr>
              <w:t>协助采购人全面提升浐灞国际港林业管理、服务能力，强化生态重大有害生物监测预警与防控能力，优化陆生野生动物保护及湿地资源管理，构建科学高效的林业生态安全防护体系，实现林业资源可持续发展，推动区域生态环境质量显著提升。</w:t>
            </w:r>
          </w:p>
          <w:p>
            <w:pPr>
              <w:pStyle w:val="null3"/>
            </w:pPr>
            <w:r>
              <w:rPr>
                <w:rFonts w:ascii="仿宋_GB2312" w:hAnsi="仿宋_GB2312" w:cs="仿宋_GB2312" w:eastAsia="仿宋_GB2312"/>
              </w:rPr>
              <w:t>（二）具体指标</w:t>
            </w:r>
          </w:p>
          <w:p>
            <w:pPr>
              <w:pStyle w:val="null3"/>
            </w:pPr>
            <w:r>
              <w:rPr>
                <w:rFonts w:ascii="仿宋_GB2312" w:hAnsi="仿宋_GB2312" w:cs="仿宋_GB2312" w:eastAsia="仿宋_GB2312"/>
              </w:rPr>
              <w:t>1.林业有害生物监测、普查覆盖率达100%，林业有害生物成灾率小于等于4‰，重大林业有害生物防治率≥95%。</w:t>
            </w:r>
          </w:p>
          <w:p>
            <w:pPr>
              <w:pStyle w:val="null3"/>
            </w:pPr>
            <w:r>
              <w:rPr>
                <w:rFonts w:ascii="仿宋_GB2312" w:hAnsi="仿宋_GB2312" w:cs="仿宋_GB2312" w:eastAsia="仿宋_GB2312"/>
              </w:rPr>
              <w:t>2.调入苗木落地复检率100%，调出办证涉木产品现场检疫核查率100%。</w:t>
            </w:r>
          </w:p>
          <w:p>
            <w:pPr>
              <w:pStyle w:val="null3"/>
            </w:pPr>
            <w:r>
              <w:rPr>
                <w:rFonts w:ascii="仿宋_GB2312" w:hAnsi="仿宋_GB2312" w:cs="仿宋_GB2312" w:eastAsia="仿宋_GB2312"/>
              </w:rPr>
              <w:t>3.疫源疫病监测信息及时上报率达100%，陆生野生动物救助当日完成所有程序。</w:t>
            </w:r>
          </w:p>
          <w:p>
            <w:pPr>
              <w:pStyle w:val="null3"/>
            </w:pPr>
            <w:r>
              <w:rPr>
                <w:rFonts w:ascii="仿宋_GB2312" w:hAnsi="仿宋_GB2312" w:cs="仿宋_GB2312" w:eastAsia="仿宋_GB2312"/>
              </w:rPr>
              <w:t>4.陆生野生动物保护与疫源疫病监测巡查、湿地资源监测保护巡查、林地防火巡查每周3次，做到及时发现及时上报，并处置，处置率达100%，满意度95分以上，并定期在宣传周进行宣传有关法规制度。</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四、政策依据</w:t>
            </w:r>
          </w:p>
          <w:p>
            <w:pPr>
              <w:pStyle w:val="null3"/>
            </w:pPr>
            <w:r>
              <w:rPr>
                <w:rFonts w:ascii="仿宋_GB2312" w:hAnsi="仿宋_GB2312" w:cs="仿宋_GB2312" w:eastAsia="仿宋_GB2312"/>
              </w:rPr>
              <w:t>本项目严格依据《中华人民共和国森林法》《中华人民共和国野生动物保护法》《植物检疫条例》《中华人民共和国湿地保护法》等国家法律法规，以及《陕西省林业有害生物防治检疫条例》《西安市林业发展“十四五”规划》等地方政策文件开展。同时，遵循《森林病虫害监测技术规程》《美国白蛾防控技术规范》《陕西省2025年松材线虫病防治方案》《陆生野生动物疫源疫病监测规范》 《西安浐灞国际港重大林业有害生物防控工作方案》等技术标准，确保项目实施的规范性与科学性。</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浐灞国际港2025年重点点位经纬度</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 xml:space="preserve"> </w:t>
                  </w:r>
                </w:p>
              </w:tc>
              <w:tc>
                <w:tcPr>
                  <w:tcW w:type="dxa" w:w="2044"/>
                  <w:gridSpan w:val="4"/>
                </w:tcPr>
                <w:p>
                  <w:pPr>
                    <w:pStyle w:val="null3"/>
                  </w:pPr>
                  <w:r>
                    <w:rPr>
                      <w:rFonts w:ascii="仿宋_GB2312" w:hAnsi="仿宋_GB2312" w:cs="仿宋_GB2312" w:eastAsia="仿宋_GB2312"/>
                    </w:rPr>
                    <w:t>新栽路段及新建小区</w:t>
                  </w:r>
                </w:p>
              </w:tc>
            </w:tr>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路段</w:t>
                  </w:r>
                </w:p>
              </w:tc>
              <w:tc>
                <w:tcPr>
                  <w:tcW w:type="dxa" w:w="511"/>
                </w:tcPr>
                <w:p>
                  <w:pPr>
                    <w:pStyle w:val="null3"/>
                  </w:pPr>
                  <w:r>
                    <w:rPr>
                      <w:rFonts w:ascii="仿宋_GB2312" w:hAnsi="仿宋_GB2312" w:cs="仿宋_GB2312" w:eastAsia="仿宋_GB2312"/>
                    </w:rPr>
                    <w:t>纬度</w:t>
                  </w:r>
                </w:p>
              </w:tc>
              <w:tc>
                <w:tcPr>
                  <w:tcW w:type="dxa" w:w="511"/>
                </w:tcPr>
                <w:p>
                  <w:pPr>
                    <w:pStyle w:val="null3"/>
                  </w:pPr>
                  <w:r>
                    <w:rPr>
                      <w:rFonts w:ascii="仿宋_GB2312" w:hAnsi="仿宋_GB2312" w:cs="仿宋_GB2312" w:eastAsia="仿宋_GB2312"/>
                    </w:rPr>
                    <w:t>经度</w:t>
                  </w:r>
                </w:p>
              </w:tc>
              <w:tc>
                <w:tcPr>
                  <w:tcW w:type="dxa" w:w="511"/>
                </w:tcPr>
                <w:p>
                  <w:pPr>
                    <w:pStyle w:val="null3"/>
                  </w:pPr>
                  <w:r>
                    <w:rPr>
                      <w:rFonts w:ascii="仿宋_GB2312" w:hAnsi="仿宋_GB2312" w:cs="仿宋_GB2312" w:eastAsia="仿宋_GB2312"/>
                    </w:rPr>
                    <w:t>地址</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元朔大道</w:t>
                  </w:r>
                </w:p>
              </w:tc>
              <w:tc>
                <w:tcPr>
                  <w:tcW w:type="dxa" w:w="511"/>
                </w:tcPr>
                <w:p>
                  <w:pPr>
                    <w:pStyle w:val="null3"/>
                  </w:pPr>
                  <w:r>
                    <w:rPr>
                      <w:rFonts w:ascii="仿宋_GB2312" w:hAnsi="仿宋_GB2312" w:cs="仿宋_GB2312" w:eastAsia="仿宋_GB2312"/>
                    </w:rPr>
                    <w:t>34.361060978925615</w:t>
                  </w:r>
                </w:p>
              </w:tc>
              <w:tc>
                <w:tcPr>
                  <w:tcW w:type="dxa" w:w="511"/>
                </w:tcPr>
                <w:p>
                  <w:pPr>
                    <w:pStyle w:val="null3"/>
                  </w:pPr>
                  <w:r>
                    <w:rPr>
                      <w:rFonts w:ascii="仿宋_GB2312" w:hAnsi="仿宋_GB2312" w:cs="仿宋_GB2312" w:eastAsia="仿宋_GB2312"/>
                    </w:rPr>
                    <w:t>109.0569909236425</w:t>
                  </w:r>
                </w:p>
              </w:tc>
              <w:tc>
                <w:tcPr>
                  <w:tcW w:type="dxa" w:w="511"/>
                </w:tcPr>
                <w:p>
                  <w:pPr>
                    <w:pStyle w:val="null3"/>
                  </w:pPr>
                  <w:r>
                    <w:rPr>
                      <w:rFonts w:ascii="仿宋_GB2312" w:hAnsi="仿宋_GB2312" w:cs="仿宋_GB2312" w:eastAsia="仿宋_GB2312"/>
                    </w:rPr>
                    <w:t>陕西省西安市灞桥区新筑街道新陆新居</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漕渠路</w:t>
                  </w:r>
                </w:p>
              </w:tc>
              <w:tc>
                <w:tcPr>
                  <w:tcW w:type="dxa" w:w="511"/>
                </w:tcPr>
                <w:p>
                  <w:pPr>
                    <w:pStyle w:val="null3"/>
                  </w:pPr>
                  <w:r>
                    <w:rPr>
                      <w:rFonts w:ascii="仿宋_GB2312" w:hAnsi="仿宋_GB2312" w:cs="仿宋_GB2312" w:eastAsia="仿宋_GB2312"/>
                    </w:rPr>
                    <w:t>34.39501078348371</w:t>
                  </w:r>
                </w:p>
              </w:tc>
              <w:tc>
                <w:tcPr>
                  <w:tcW w:type="dxa" w:w="511"/>
                </w:tcPr>
                <w:p>
                  <w:pPr>
                    <w:pStyle w:val="null3"/>
                  </w:pPr>
                  <w:r>
                    <w:rPr>
                      <w:rFonts w:ascii="仿宋_GB2312" w:hAnsi="仿宋_GB2312" w:cs="仿宋_GB2312" w:eastAsia="仿宋_GB2312"/>
                    </w:rPr>
                    <w:t>109.05221717697519</w:t>
                  </w:r>
                </w:p>
              </w:tc>
              <w:tc>
                <w:tcPr>
                  <w:tcW w:type="dxa" w:w="511"/>
                </w:tcPr>
                <w:p>
                  <w:pPr>
                    <w:pStyle w:val="null3"/>
                  </w:pPr>
                  <w:r>
                    <w:rPr>
                      <w:rFonts w:ascii="仿宋_GB2312" w:hAnsi="仿宋_GB2312" w:cs="仿宋_GB2312" w:eastAsia="仿宋_GB2312"/>
                    </w:rPr>
                    <w:t>陕西省西安市灞桥区新筑街道秦汉和苑</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和畅路</w:t>
                  </w:r>
                </w:p>
              </w:tc>
              <w:tc>
                <w:tcPr>
                  <w:tcW w:type="dxa" w:w="511"/>
                </w:tcPr>
                <w:p>
                  <w:pPr>
                    <w:pStyle w:val="null3"/>
                  </w:pPr>
                  <w:r>
                    <w:rPr>
                      <w:rFonts w:ascii="仿宋_GB2312" w:hAnsi="仿宋_GB2312" w:cs="仿宋_GB2312" w:eastAsia="仿宋_GB2312"/>
                    </w:rPr>
                    <w:t>34.38966212193689</w:t>
                  </w:r>
                </w:p>
              </w:tc>
              <w:tc>
                <w:tcPr>
                  <w:tcW w:type="dxa" w:w="511"/>
                </w:tcPr>
                <w:p>
                  <w:pPr>
                    <w:pStyle w:val="null3"/>
                  </w:pPr>
                  <w:r>
                    <w:rPr>
                      <w:rFonts w:ascii="仿宋_GB2312" w:hAnsi="仿宋_GB2312" w:cs="仿宋_GB2312" w:eastAsia="仿宋_GB2312"/>
                    </w:rPr>
                    <w:t>109.04738776779986</w:t>
                  </w:r>
                </w:p>
              </w:tc>
              <w:tc>
                <w:tcPr>
                  <w:tcW w:type="dxa" w:w="511"/>
                </w:tcPr>
                <w:p>
                  <w:pPr>
                    <w:pStyle w:val="null3"/>
                  </w:pPr>
                  <w:r>
                    <w:rPr>
                      <w:rFonts w:ascii="仿宋_GB2312" w:hAnsi="仿宋_GB2312" w:cs="仿宋_GB2312" w:eastAsia="仿宋_GB2312"/>
                    </w:rPr>
                    <w:t>陕西省西安市灞桥区新筑街道绿地国港新里城二期(西门)</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港安路东段</w:t>
                  </w:r>
                </w:p>
              </w:tc>
              <w:tc>
                <w:tcPr>
                  <w:tcW w:type="dxa" w:w="511"/>
                </w:tcPr>
                <w:p>
                  <w:pPr>
                    <w:pStyle w:val="null3"/>
                  </w:pPr>
                  <w:r>
                    <w:rPr>
                      <w:rFonts w:ascii="仿宋_GB2312" w:hAnsi="仿宋_GB2312" w:cs="仿宋_GB2312" w:eastAsia="仿宋_GB2312"/>
                    </w:rPr>
                    <w:t>34.38963113576431</w:t>
                  </w:r>
                </w:p>
              </w:tc>
              <w:tc>
                <w:tcPr>
                  <w:tcW w:type="dxa" w:w="511"/>
                </w:tcPr>
                <w:p>
                  <w:pPr>
                    <w:pStyle w:val="null3"/>
                  </w:pPr>
                  <w:r>
                    <w:rPr>
                      <w:rFonts w:ascii="仿宋_GB2312" w:hAnsi="仿宋_GB2312" w:cs="仿宋_GB2312" w:eastAsia="仿宋_GB2312"/>
                    </w:rPr>
                    <w:t>109.04007674651272</w:t>
                  </w:r>
                </w:p>
              </w:tc>
              <w:tc>
                <w:tcPr>
                  <w:tcW w:type="dxa" w:w="511"/>
                </w:tcPr>
                <w:p>
                  <w:pPr>
                    <w:pStyle w:val="null3"/>
                  </w:pPr>
                  <w:r>
                    <w:rPr>
                      <w:rFonts w:ascii="仿宋_GB2312" w:hAnsi="仿宋_GB2312" w:cs="仿宋_GB2312" w:eastAsia="仿宋_GB2312"/>
                    </w:rPr>
                    <w:t>陕西省西安市灞桥区新筑街道泛悦城</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港润路</w:t>
                  </w:r>
                </w:p>
              </w:tc>
              <w:tc>
                <w:tcPr>
                  <w:tcW w:type="dxa" w:w="511"/>
                </w:tcPr>
                <w:p>
                  <w:pPr>
                    <w:pStyle w:val="null3"/>
                  </w:pPr>
                  <w:r>
                    <w:rPr>
                      <w:rFonts w:ascii="仿宋_GB2312" w:hAnsi="仿宋_GB2312" w:cs="仿宋_GB2312" w:eastAsia="仿宋_GB2312"/>
                    </w:rPr>
                    <w:t>34.38163368220958</w:t>
                  </w:r>
                </w:p>
              </w:tc>
              <w:tc>
                <w:tcPr>
                  <w:tcW w:type="dxa" w:w="511"/>
                </w:tcPr>
                <w:p>
                  <w:pPr>
                    <w:pStyle w:val="null3"/>
                  </w:pPr>
                  <w:r>
                    <w:rPr>
                      <w:rFonts w:ascii="仿宋_GB2312" w:hAnsi="仿宋_GB2312" w:cs="仿宋_GB2312" w:eastAsia="仿宋_GB2312"/>
                    </w:rPr>
                    <w:t>109.04789119125229</w:t>
                  </w:r>
                </w:p>
              </w:tc>
              <w:tc>
                <w:tcPr>
                  <w:tcW w:type="dxa" w:w="511"/>
                </w:tcPr>
                <w:p>
                  <w:pPr>
                    <w:pStyle w:val="null3"/>
                  </w:pPr>
                  <w:r>
                    <w:rPr>
                      <w:rFonts w:ascii="仿宋_GB2312" w:hAnsi="仿宋_GB2312" w:cs="仿宋_GB2312" w:eastAsia="仿宋_GB2312"/>
                    </w:rPr>
                    <w:t>陕西省西安市灞桥区新筑街道港润路新筑新城2期</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和泰路</w:t>
                  </w:r>
                </w:p>
              </w:tc>
              <w:tc>
                <w:tcPr>
                  <w:tcW w:type="dxa" w:w="511"/>
                </w:tcPr>
                <w:p>
                  <w:pPr>
                    <w:pStyle w:val="null3"/>
                  </w:pPr>
                  <w:r>
                    <w:rPr>
                      <w:rFonts w:ascii="仿宋_GB2312" w:hAnsi="仿宋_GB2312" w:cs="仿宋_GB2312" w:eastAsia="仿宋_GB2312"/>
                    </w:rPr>
                    <w:t>34.3721696</w:t>
                  </w:r>
                </w:p>
              </w:tc>
              <w:tc>
                <w:tcPr>
                  <w:tcW w:type="dxa" w:w="511"/>
                </w:tcPr>
                <w:p>
                  <w:pPr>
                    <w:pStyle w:val="null3"/>
                  </w:pPr>
                  <w:r>
                    <w:rPr>
                      <w:rFonts w:ascii="仿宋_GB2312" w:hAnsi="仿宋_GB2312" w:cs="仿宋_GB2312" w:eastAsia="仿宋_GB2312"/>
                    </w:rPr>
                    <w:t>109.0576248</w:t>
                  </w:r>
                </w:p>
              </w:tc>
              <w:tc>
                <w:tcPr>
                  <w:tcW w:type="dxa" w:w="511"/>
                </w:tcPr>
                <w:p>
                  <w:pPr>
                    <w:pStyle w:val="null3"/>
                  </w:pPr>
                  <w:r>
                    <w:rPr>
                      <w:rFonts w:ascii="仿宋_GB2312" w:hAnsi="仿宋_GB2312" w:cs="仿宋_GB2312" w:eastAsia="仿宋_GB2312"/>
                    </w:rPr>
                    <w:t>灞桥区</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港宁路</w:t>
                  </w:r>
                </w:p>
              </w:tc>
              <w:tc>
                <w:tcPr>
                  <w:tcW w:type="dxa" w:w="511"/>
                </w:tcPr>
                <w:p>
                  <w:pPr>
                    <w:pStyle w:val="null3"/>
                  </w:pPr>
                  <w:r>
                    <w:rPr>
                      <w:rFonts w:ascii="仿宋_GB2312" w:hAnsi="仿宋_GB2312" w:cs="仿宋_GB2312" w:eastAsia="仿宋_GB2312"/>
                    </w:rPr>
                    <w:t>34.39079223964042</w:t>
                  </w:r>
                </w:p>
              </w:tc>
              <w:tc>
                <w:tcPr>
                  <w:tcW w:type="dxa" w:w="511"/>
                </w:tcPr>
                <w:p>
                  <w:pPr>
                    <w:pStyle w:val="null3"/>
                  </w:pPr>
                  <w:r>
                    <w:rPr>
                      <w:rFonts w:ascii="仿宋_GB2312" w:hAnsi="仿宋_GB2312" w:cs="仿宋_GB2312" w:eastAsia="仿宋_GB2312"/>
                    </w:rPr>
                    <w:t>109.06114213895388</w:t>
                  </w:r>
                </w:p>
              </w:tc>
              <w:tc>
                <w:tcPr>
                  <w:tcW w:type="dxa" w:w="511"/>
                </w:tcPr>
                <w:p>
                  <w:pPr>
                    <w:pStyle w:val="null3"/>
                  </w:pPr>
                  <w:r>
                    <w:rPr>
                      <w:rFonts w:ascii="仿宋_GB2312" w:hAnsi="仿宋_GB2312" w:cs="仿宋_GB2312" w:eastAsia="仿宋_GB2312"/>
                    </w:rPr>
                    <w:t>陕西省西安市灞桥区新筑街道港宁路阳光STATION</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陶家路</w:t>
                  </w:r>
                </w:p>
              </w:tc>
              <w:tc>
                <w:tcPr>
                  <w:tcW w:type="dxa" w:w="511"/>
                </w:tcPr>
                <w:p>
                  <w:pPr>
                    <w:pStyle w:val="null3"/>
                  </w:pPr>
                  <w:r>
                    <w:rPr>
                      <w:rFonts w:ascii="仿宋_GB2312" w:hAnsi="仿宋_GB2312" w:cs="仿宋_GB2312" w:eastAsia="仿宋_GB2312"/>
                    </w:rPr>
                    <w:t>34.3973977</w:t>
                  </w:r>
                </w:p>
              </w:tc>
              <w:tc>
                <w:tcPr>
                  <w:tcW w:type="dxa" w:w="511"/>
                </w:tcPr>
                <w:p>
                  <w:pPr>
                    <w:pStyle w:val="null3"/>
                  </w:pPr>
                  <w:r>
                    <w:rPr>
                      <w:rFonts w:ascii="仿宋_GB2312" w:hAnsi="仿宋_GB2312" w:cs="仿宋_GB2312" w:eastAsia="仿宋_GB2312"/>
                    </w:rPr>
                    <w:t>109.0862160</w:t>
                  </w:r>
                </w:p>
              </w:tc>
              <w:tc>
                <w:tcPr>
                  <w:tcW w:type="dxa" w:w="511"/>
                </w:tcPr>
                <w:p>
                  <w:pPr>
                    <w:pStyle w:val="null3"/>
                  </w:pPr>
                  <w:r>
                    <w:rPr>
                      <w:rFonts w:ascii="仿宋_GB2312" w:hAnsi="仿宋_GB2312" w:cs="仿宋_GB2312" w:eastAsia="仿宋_GB2312"/>
                    </w:rPr>
                    <w:t>灞桥区</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会展一路</w:t>
                  </w:r>
                </w:p>
              </w:tc>
              <w:tc>
                <w:tcPr>
                  <w:tcW w:type="dxa" w:w="511"/>
                </w:tcPr>
                <w:p>
                  <w:pPr>
                    <w:pStyle w:val="null3"/>
                  </w:pPr>
                  <w:r>
                    <w:rPr>
                      <w:rFonts w:ascii="仿宋_GB2312" w:hAnsi="仿宋_GB2312" w:cs="仿宋_GB2312" w:eastAsia="仿宋_GB2312"/>
                    </w:rPr>
                    <w:t>34.3310633</w:t>
                  </w:r>
                </w:p>
              </w:tc>
              <w:tc>
                <w:tcPr>
                  <w:tcW w:type="dxa" w:w="511"/>
                </w:tcPr>
                <w:p>
                  <w:pPr>
                    <w:pStyle w:val="null3"/>
                  </w:pPr>
                  <w:r>
                    <w:rPr>
                      <w:rFonts w:ascii="仿宋_GB2312" w:hAnsi="仿宋_GB2312" w:cs="仿宋_GB2312" w:eastAsia="仿宋_GB2312"/>
                    </w:rPr>
                    <w:t>109.0417430</w:t>
                  </w:r>
                </w:p>
              </w:tc>
              <w:tc>
                <w:tcPr>
                  <w:tcW w:type="dxa" w:w="511"/>
                </w:tcPr>
                <w:p>
                  <w:pPr>
                    <w:pStyle w:val="null3"/>
                  </w:pPr>
                  <w:r>
                    <w:rPr>
                      <w:rFonts w:ascii="仿宋_GB2312" w:hAnsi="仿宋_GB2312" w:cs="仿宋_GB2312" w:eastAsia="仿宋_GB2312"/>
                    </w:rPr>
                    <w:t>灞桥区</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浐灞一路</w:t>
                  </w:r>
                </w:p>
              </w:tc>
              <w:tc>
                <w:tcPr>
                  <w:tcW w:type="dxa" w:w="511"/>
                </w:tcPr>
                <w:p>
                  <w:pPr>
                    <w:pStyle w:val="null3"/>
                  </w:pPr>
                  <w:r>
                    <w:rPr>
                      <w:rFonts w:ascii="仿宋_GB2312" w:hAnsi="仿宋_GB2312" w:cs="仿宋_GB2312" w:eastAsia="仿宋_GB2312"/>
                    </w:rPr>
                    <w:t>34.3186499</w:t>
                  </w:r>
                </w:p>
              </w:tc>
              <w:tc>
                <w:tcPr>
                  <w:tcW w:type="dxa" w:w="511"/>
                </w:tcPr>
                <w:p>
                  <w:pPr>
                    <w:pStyle w:val="null3"/>
                  </w:pPr>
                  <w:r>
                    <w:rPr>
                      <w:rFonts w:ascii="仿宋_GB2312" w:hAnsi="仿宋_GB2312" w:cs="仿宋_GB2312" w:eastAsia="仿宋_GB2312"/>
                    </w:rPr>
                    <w:t>108.9967047</w:t>
                  </w:r>
                </w:p>
              </w:tc>
              <w:tc>
                <w:tcPr>
                  <w:tcW w:type="dxa" w:w="511"/>
                </w:tcPr>
                <w:p>
                  <w:pPr>
                    <w:pStyle w:val="null3"/>
                  </w:pPr>
                  <w:r>
                    <w:rPr>
                      <w:rFonts w:ascii="仿宋_GB2312" w:hAnsi="仿宋_GB2312" w:cs="仿宋_GB2312" w:eastAsia="仿宋_GB2312"/>
                    </w:rPr>
                    <w:t>未央区</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浐灞二路</w:t>
                  </w:r>
                </w:p>
              </w:tc>
              <w:tc>
                <w:tcPr>
                  <w:tcW w:type="dxa" w:w="511"/>
                </w:tcPr>
                <w:p>
                  <w:pPr>
                    <w:pStyle w:val="null3"/>
                  </w:pPr>
                  <w:r>
                    <w:rPr>
                      <w:rFonts w:ascii="仿宋_GB2312" w:hAnsi="仿宋_GB2312" w:cs="仿宋_GB2312" w:eastAsia="仿宋_GB2312"/>
                    </w:rPr>
                    <w:t>34.3235202</w:t>
                  </w:r>
                </w:p>
              </w:tc>
              <w:tc>
                <w:tcPr>
                  <w:tcW w:type="dxa" w:w="511"/>
                </w:tcPr>
                <w:p>
                  <w:pPr>
                    <w:pStyle w:val="null3"/>
                  </w:pPr>
                  <w:r>
                    <w:rPr>
                      <w:rFonts w:ascii="仿宋_GB2312" w:hAnsi="仿宋_GB2312" w:cs="仿宋_GB2312" w:eastAsia="仿宋_GB2312"/>
                    </w:rPr>
                    <w:t>109.0107640</w:t>
                  </w:r>
                </w:p>
              </w:tc>
              <w:tc>
                <w:tcPr>
                  <w:tcW w:type="dxa" w:w="511"/>
                </w:tcPr>
                <w:p>
                  <w:pPr>
                    <w:pStyle w:val="null3"/>
                  </w:pPr>
                  <w:r>
                    <w:rPr>
                      <w:rFonts w:ascii="仿宋_GB2312" w:hAnsi="仿宋_GB2312" w:cs="仿宋_GB2312" w:eastAsia="仿宋_GB2312"/>
                    </w:rPr>
                    <w:t>未央区</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兴泰北路</w:t>
                  </w:r>
                </w:p>
              </w:tc>
              <w:tc>
                <w:tcPr>
                  <w:tcW w:type="dxa" w:w="511"/>
                </w:tcPr>
                <w:p>
                  <w:pPr>
                    <w:pStyle w:val="null3"/>
                  </w:pPr>
                  <w:r>
                    <w:rPr>
                      <w:rFonts w:ascii="仿宋_GB2312" w:hAnsi="仿宋_GB2312" w:cs="仿宋_GB2312" w:eastAsia="仿宋_GB2312"/>
                    </w:rPr>
                    <w:t>34.3380561</w:t>
                  </w:r>
                </w:p>
              </w:tc>
              <w:tc>
                <w:tcPr>
                  <w:tcW w:type="dxa" w:w="511"/>
                </w:tcPr>
                <w:p>
                  <w:pPr>
                    <w:pStyle w:val="null3"/>
                  </w:pPr>
                  <w:r>
                    <w:rPr>
                      <w:rFonts w:ascii="仿宋_GB2312" w:hAnsi="仿宋_GB2312" w:cs="仿宋_GB2312" w:eastAsia="仿宋_GB2312"/>
                    </w:rPr>
                    <w:t>109.0027928</w:t>
                  </w:r>
                </w:p>
              </w:tc>
              <w:tc>
                <w:tcPr>
                  <w:tcW w:type="dxa" w:w="511"/>
                </w:tcPr>
                <w:p>
                  <w:pPr>
                    <w:pStyle w:val="null3"/>
                  </w:pPr>
                  <w:r>
                    <w:rPr>
                      <w:rFonts w:ascii="仿宋_GB2312" w:hAnsi="仿宋_GB2312" w:cs="仿宋_GB2312" w:eastAsia="仿宋_GB2312"/>
                    </w:rPr>
                    <w:t>未央区</w:t>
                  </w:r>
                </w:p>
              </w:tc>
            </w:tr>
            <w:tr>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欧亚一路</w:t>
                  </w:r>
                </w:p>
              </w:tc>
              <w:tc>
                <w:tcPr>
                  <w:tcW w:type="dxa" w:w="511"/>
                </w:tcPr>
                <w:p>
                  <w:pPr>
                    <w:pStyle w:val="null3"/>
                  </w:pPr>
                  <w:r>
                    <w:rPr>
                      <w:rFonts w:ascii="仿宋_GB2312" w:hAnsi="仿宋_GB2312" w:cs="仿宋_GB2312" w:eastAsia="仿宋_GB2312"/>
                    </w:rPr>
                    <w:t>34.3334099</w:t>
                  </w:r>
                </w:p>
              </w:tc>
              <w:tc>
                <w:tcPr>
                  <w:tcW w:type="dxa" w:w="511"/>
                </w:tcPr>
                <w:p>
                  <w:pPr>
                    <w:pStyle w:val="null3"/>
                  </w:pPr>
                  <w:r>
                    <w:rPr>
                      <w:rFonts w:ascii="仿宋_GB2312" w:hAnsi="仿宋_GB2312" w:cs="仿宋_GB2312" w:eastAsia="仿宋_GB2312"/>
                    </w:rPr>
                    <w:t>108.9963928</w:t>
                  </w:r>
                </w:p>
              </w:tc>
              <w:tc>
                <w:tcPr>
                  <w:tcW w:type="dxa" w:w="511"/>
                </w:tcPr>
                <w:p>
                  <w:pPr>
                    <w:pStyle w:val="null3"/>
                  </w:pPr>
                  <w:r>
                    <w:rPr>
                      <w:rFonts w:ascii="仿宋_GB2312" w:hAnsi="仿宋_GB2312" w:cs="仿宋_GB2312" w:eastAsia="仿宋_GB2312"/>
                    </w:rPr>
                    <w:t>未央区</w:t>
                  </w:r>
                </w:p>
              </w:tc>
            </w:tr>
            <w:tr>
              <w:tc>
                <w:tcPr>
                  <w:tcW w:type="dxa" w:w="511"/>
                </w:tcPr>
                <w:p>
                  <w:pPr>
                    <w:pStyle w:val="null3"/>
                  </w:pPr>
                  <w:r>
                    <w:rPr>
                      <w:rFonts w:ascii="仿宋_GB2312" w:hAnsi="仿宋_GB2312" w:cs="仿宋_GB2312" w:eastAsia="仿宋_GB2312"/>
                    </w:rPr>
                    <w:t>14</w:t>
                  </w:r>
                </w:p>
              </w:tc>
              <w:tc>
                <w:tcPr>
                  <w:tcW w:type="dxa" w:w="511"/>
                </w:tcPr>
                <w:p>
                  <w:pPr>
                    <w:pStyle w:val="null3"/>
                  </w:pPr>
                  <w:r>
                    <w:rPr>
                      <w:rFonts w:ascii="仿宋_GB2312" w:hAnsi="仿宋_GB2312" w:cs="仿宋_GB2312" w:eastAsia="仿宋_GB2312"/>
                    </w:rPr>
                    <w:t>雁鸣一路</w:t>
                  </w:r>
                </w:p>
              </w:tc>
              <w:tc>
                <w:tcPr>
                  <w:tcW w:type="dxa" w:w="511"/>
                </w:tcPr>
                <w:p>
                  <w:pPr>
                    <w:pStyle w:val="null3"/>
                  </w:pPr>
                  <w:r>
                    <w:rPr>
                      <w:rFonts w:ascii="仿宋_GB2312" w:hAnsi="仿宋_GB2312" w:cs="仿宋_GB2312" w:eastAsia="仿宋_GB2312"/>
                    </w:rPr>
                    <w:t>34.2217797</w:t>
                  </w:r>
                </w:p>
              </w:tc>
              <w:tc>
                <w:tcPr>
                  <w:tcW w:type="dxa" w:w="511"/>
                </w:tcPr>
                <w:p>
                  <w:pPr>
                    <w:pStyle w:val="null3"/>
                  </w:pPr>
                  <w:r>
                    <w:rPr>
                      <w:rFonts w:ascii="仿宋_GB2312" w:hAnsi="仿宋_GB2312" w:cs="仿宋_GB2312" w:eastAsia="仿宋_GB2312"/>
                    </w:rPr>
                    <w:t>109.0343947</w:t>
                  </w:r>
                </w:p>
              </w:tc>
              <w:tc>
                <w:tcPr>
                  <w:tcW w:type="dxa" w:w="511"/>
                </w:tcPr>
                <w:p>
                  <w:pPr>
                    <w:pStyle w:val="null3"/>
                  </w:pPr>
                  <w:r>
                    <w:rPr>
                      <w:rFonts w:ascii="仿宋_GB2312" w:hAnsi="仿宋_GB2312" w:cs="仿宋_GB2312" w:eastAsia="仿宋_GB2312"/>
                    </w:rPr>
                    <w:t>雁塔区</w:t>
                  </w:r>
                </w:p>
              </w:tc>
            </w:tr>
            <w:tr>
              <w:tc>
                <w:tcPr>
                  <w:tcW w:type="dxa" w:w="511"/>
                </w:tcPr>
                <w:p>
                  <w:pPr>
                    <w:pStyle w:val="null3"/>
                  </w:pPr>
                  <w:r>
                    <w:rPr>
                      <w:rFonts w:ascii="仿宋_GB2312" w:hAnsi="仿宋_GB2312" w:cs="仿宋_GB2312" w:eastAsia="仿宋_GB2312"/>
                    </w:rPr>
                    <w:t>15</w:t>
                  </w:r>
                </w:p>
              </w:tc>
              <w:tc>
                <w:tcPr>
                  <w:tcW w:type="dxa" w:w="511"/>
                </w:tcPr>
                <w:p>
                  <w:pPr>
                    <w:pStyle w:val="null3"/>
                  </w:pPr>
                  <w:r>
                    <w:rPr>
                      <w:rFonts w:ascii="仿宋_GB2312" w:hAnsi="仿宋_GB2312" w:cs="仿宋_GB2312" w:eastAsia="仿宋_GB2312"/>
                    </w:rPr>
                    <w:t>草甸路</w:t>
                  </w:r>
                </w:p>
              </w:tc>
              <w:tc>
                <w:tcPr>
                  <w:tcW w:type="dxa" w:w="511"/>
                </w:tcPr>
                <w:p>
                  <w:pPr>
                    <w:pStyle w:val="null3"/>
                  </w:pPr>
                  <w:r>
                    <w:rPr>
                      <w:rFonts w:ascii="仿宋_GB2312" w:hAnsi="仿宋_GB2312" w:cs="仿宋_GB2312" w:eastAsia="仿宋_GB2312"/>
                    </w:rPr>
                    <w:t>34.2114125</w:t>
                  </w:r>
                </w:p>
              </w:tc>
              <w:tc>
                <w:tcPr>
                  <w:tcW w:type="dxa" w:w="511"/>
                </w:tcPr>
                <w:p>
                  <w:pPr>
                    <w:pStyle w:val="null3"/>
                  </w:pPr>
                  <w:r>
                    <w:rPr>
                      <w:rFonts w:ascii="仿宋_GB2312" w:hAnsi="仿宋_GB2312" w:cs="仿宋_GB2312" w:eastAsia="仿宋_GB2312"/>
                    </w:rPr>
                    <w:t>109.0351439</w:t>
                  </w:r>
                </w:p>
              </w:tc>
              <w:tc>
                <w:tcPr>
                  <w:tcW w:type="dxa" w:w="511"/>
                </w:tcPr>
                <w:p>
                  <w:pPr>
                    <w:pStyle w:val="null3"/>
                  </w:pPr>
                  <w:r>
                    <w:rPr>
                      <w:rFonts w:ascii="仿宋_GB2312" w:hAnsi="仿宋_GB2312" w:cs="仿宋_GB2312" w:eastAsia="仿宋_GB2312"/>
                    </w:rPr>
                    <w:t>雁塔区</w:t>
                  </w:r>
                </w:p>
              </w:tc>
            </w:tr>
            <w:tr>
              <w:tc>
                <w:tcPr>
                  <w:tcW w:type="dxa" w:w="511"/>
                </w:tcPr>
                <w:p>
                  <w:pPr>
                    <w:pStyle w:val="null3"/>
                  </w:pPr>
                  <w:r>
                    <w:rPr>
                      <w:rFonts w:ascii="仿宋_GB2312" w:hAnsi="仿宋_GB2312" w:cs="仿宋_GB2312" w:eastAsia="仿宋_GB2312"/>
                    </w:rPr>
                    <w:t>16</w:t>
                  </w:r>
                </w:p>
              </w:tc>
              <w:tc>
                <w:tcPr>
                  <w:tcW w:type="dxa" w:w="511"/>
                </w:tcPr>
                <w:p>
                  <w:pPr>
                    <w:pStyle w:val="null3"/>
                  </w:pPr>
                  <w:r>
                    <w:rPr>
                      <w:rFonts w:ascii="仿宋_GB2312" w:hAnsi="仿宋_GB2312" w:cs="仿宋_GB2312" w:eastAsia="仿宋_GB2312"/>
                    </w:rPr>
                    <w:t>锦堤四路</w:t>
                  </w:r>
                </w:p>
              </w:tc>
              <w:tc>
                <w:tcPr>
                  <w:tcW w:type="dxa" w:w="511"/>
                </w:tcPr>
                <w:p>
                  <w:pPr>
                    <w:pStyle w:val="null3"/>
                  </w:pPr>
                  <w:r>
                    <w:rPr>
                      <w:rFonts w:ascii="仿宋_GB2312" w:hAnsi="仿宋_GB2312" w:cs="仿宋_GB2312" w:eastAsia="仿宋_GB2312"/>
                    </w:rPr>
                    <w:t>34.35073582962526</w:t>
                  </w:r>
                </w:p>
              </w:tc>
              <w:tc>
                <w:tcPr>
                  <w:tcW w:type="dxa" w:w="511"/>
                </w:tcPr>
                <w:p>
                  <w:pPr>
                    <w:pStyle w:val="null3"/>
                  </w:pPr>
                  <w:r>
                    <w:rPr>
                      <w:rFonts w:ascii="仿宋_GB2312" w:hAnsi="仿宋_GB2312" w:cs="仿宋_GB2312" w:eastAsia="仿宋_GB2312"/>
                    </w:rPr>
                    <w:t>109.03913647771073</w:t>
                  </w:r>
                </w:p>
              </w:tc>
              <w:tc>
                <w:tcPr>
                  <w:tcW w:type="dxa" w:w="511"/>
                </w:tcPr>
                <w:p>
                  <w:pPr>
                    <w:pStyle w:val="null3"/>
                  </w:pPr>
                  <w:r>
                    <w:rPr>
                      <w:rFonts w:ascii="仿宋_GB2312" w:hAnsi="仿宋_GB2312" w:cs="仿宋_GB2312" w:eastAsia="仿宋_GB2312"/>
                    </w:rPr>
                    <w:t>灞桥街道锦堤四路西安交通大学附属中学浐灞右岸学校</w:t>
                  </w:r>
                </w:p>
              </w:tc>
            </w:tr>
            <w:tr>
              <w:tc>
                <w:tcPr>
                  <w:tcW w:type="dxa" w:w="511"/>
                </w:tcPr>
                <w:p>
                  <w:pPr>
                    <w:pStyle w:val="null3"/>
                  </w:pPr>
                  <w:r>
                    <w:rPr>
                      <w:rFonts w:ascii="仿宋_GB2312" w:hAnsi="仿宋_GB2312" w:cs="仿宋_GB2312" w:eastAsia="仿宋_GB2312"/>
                    </w:rPr>
                    <w:t>17</w:t>
                  </w:r>
                </w:p>
              </w:tc>
              <w:tc>
                <w:tcPr>
                  <w:tcW w:type="dxa" w:w="511"/>
                </w:tcPr>
                <w:p>
                  <w:pPr>
                    <w:pStyle w:val="null3"/>
                  </w:pPr>
                  <w:r>
                    <w:rPr>
                      <w:rFonts w:ascii="仿宋_GB2312" w:hAnsi="仿宋_GB2312" w:cs="仿宋_GB2312" w:eastAsia="仿宋_GB2312"/>
                    </w:rPr>
                    <w:t>招商梧桐书院</w:t>
                  </w:r>
                </w:p>
              </w:tc>
              <w:tc>
                <w:tcPr>
                  <w:tcW w:type="dxa" w:w="511"/>
                </w:tcPr>
                <w:p>
                  <w:pPr>
                    <w:pStyle w:val="null3"/>
                  </w:pPr>
                  <w:r>
                    <w:rPr>
                      <w:rFonts w:ascii="仿宋_GB2312" w:hAnsi="仿宋_GB2312" w:cs="仿宋_GB2312" w:eastAsia="仿宋_GB2312"/>
                    </w:rPr>
                    <w:t>34.40387059167935</w:t>
                  </w:r>
                </w:p>
              </w:tc>
              <w:tc>
                <w:tcPr>
                  <w:tcW w:type="dxa" w:w="511"/>
                </w:tcPr>
                <w:p>
                  <w:pPr>
                    <w:pStyle w:val="null3"/>
                  </w:pPr>
                  <w:r>
                    <w:rPr>
                      <w:rFonts w:ascii="仿宋_GB2312" w:hAnsi="仿宋_GB2312" w:cs="仿宋_GB2312" w:eastAsia="仿宋_GB2312"/>
                    </w:rPr>
                    <w:t>109.0336298825057</w:t>
                  </w:r>
                </w:p>
              </w:tc>
              <w:tc>
                <w:tcPr>
                  <w:tcW w:type="dxa" w:w="511"/>
                </w:tcPr>
                <w:p>
                  <w:pPr>
                    <w:pStyle w:val="null3"/>
                  </w:pPr>
                  <w:r>
                    <w:rPr>
                      <w:rFonts w:ascii="仿宋_GB2312" w:hAnsi="仿宋_GB2312" w:cs="仿宋_GB2312" w:eastAsia="仿宋_GB2312"/>
                    </w:rPr>
                    <w:t>新合街道绿城琉光屿8幢招商梧桐书院(建设中)</w:t>
                  </w:r>
                </w:p>
              </w:tc>
            </w:tr>
            <w:tr>
              <w:tc>
                <w:tcPr>
                  <w:tcW w:type="dxa" w:w="511"/>
                </w:tcPr>
                <w:p>
                  <w:pPr>
                    <w:pStyle w:val="null3"/>
                  </w:pPr>
                  <w:r>
                    <w:rPr>
                      <w:rFonts w:ascii="仿宋_GB2312" w:hAnsi="仿宋_GB2312" w:cs="仿宋_GB2312" w:eastAsia="仿宋_GB2312"/>
                    </w:rPr>
                    <w:t>18</w:t>
                  </w:r>
                </w:p>
              </w:tc>
              <w:tc>
                <w:tcPr>
                  <w:tcW w:type="dxa" w:w="511"/>
                </w:tcPr>
                <w:p>
                  <w:pPr>
                    <w:pStyle w:val="null3"/>
                  </w:pPr>
                  <w:r>
                    <w:rPr>
                      <w:rFonts w:ascii="仿宋_GB2312" w:hAnsi="仿宋_GB2312" w:cs="仿宋_GB2312" w:eastAsia="仿宋_GB2312"/>
                    </w:rPr>
                    <w:t>西派麟悦</w:t>
                  </w:r>
                </w:p>
              </w:tc>
              <w:tc>
                <w:tcPr>
                  <w:tcW w:type="dxa" w:w="511"/>
                </w:tcPr>
                <w:p>
                  <w:pPr>
                    <w:pStyle w:val="null3"/>
                  </w:pPr>
                  <w:r>
                    <w:rPr>
                      <w:rFonts w:ascii="仿宋_GB2312" w:hAnsi="仿宋_GB2312" w:cs="仿宋_GB2312" w:eastAsia="仿宋_GB2312"/>
                    </w:rPr>
                    <w:t>34.3928173038225</w:t>
                  </w:r>
                </w:p>
              </w:tc>
              <w:tc>
                <w:tcPr>
                  <w:tcW w:type="dxa" w:w="511"/>
                </w:tcPr>
                <w:p>
                  <w:pPr>
                    <w:pStyle w:val="null3"/>
                  </w:pPr>
                  <w:r>
                    <w:rPr>
                      <w:rFonts w:ascii="仿宋_GB2312" w:hAnsi="仿宋_GB2312" w:cs="仿宋_GB2312" w:eastAsia="仿宋_GB2312"/>
                    </w:rPr>
                    <w:t>109.03189105797217</w:t>
                  </w:r>
                </w:p>
              </w:tc>
              <w:tc>
                <w:tcPr>
                  <w:tcW w:type="dxa" w:w="511"/>
                </w:tcPr>
                <w:p>
                  <w:pPr>
                    <w:pStyle w:val="null3"/>
                  </w:pPr>
                  <w:r>
                    <w:rPr>
                      <w:rFonts w:ascii="仿宋_GB2312" w:hAnsi="仿宋_GB2312" w:cs="仿宋_GB2312" w:eastAsia="仿宋_GB2312"/>
                    </w:rPr>
                    <w:t>区新筑街道中国铁建·西派麟悦14栋山东健康同人乐府(建设中)</w:t>
                  </w:r>
                </w:p>
              </w:tc>
            </w:tr>
            <w:tr>
              <w:tc>
                <w:tcPr>
                  <w:tcW w:type="dxa" w:w="511"/>
                </w:tcPr>
                <w:p>
                  <w:pPr>
                    <w:pStyle w:val="null3"/>
                  </w:pPr>
                  <w:r>
                    <w:rPr>
                      <w:rFonts w:ascii="仿宋_GB2312" w:hAnsi="仿宋_GB2312" w:cs="仿宋_GB2312" w:eastAsia="仿宋_GB2312"/>
                    </w:rPr>
                    <w:t>19</w:t>
                  </w:r>
                </w:p>
              </w:tc>
              <w:tc>
                <w:tcPr>
                  <w:tcW w:type="dxa" w:w="511"/>
                </w:tcPr>
                <w:p>
                  <w:pPr>
                    <w:pStyle w:val="null3"/>
                  </w:pPr>
                  <w:r>
                    <w:rPr>
                      <w:rFonts w:ascii="仿宋_GB2312" w:hAnsi="仿宋_GB2312" w:cs="仿宋_GB2312" w:eastAsia="仿宋_GB2312"/>
                    </w:rPr>
                    <w:t>融创望江府DK2</w:t>
                  </w:r>
                </w:p>
              </w:tc>
              <w:tc>
                <w:tcPr>
                  <w:tcW w:type="dxa" w:w="511"/>
                </w:tcPr>
                <w:p>
                  <w:pPr>
                    <w:pStyle w:val="null3"/>
                  </w:pPr>
                  <w:r>
                    <w:rPr>
                      <w:rFonts w:ascii="仿宋_GB2312" w:hAnsi="仿宋_GB2312" w:cs="仿宋_GB2312" w:eastAsia="仿宋_GB2312"/>
                    </w:rPr>
                    <w:t>34.38603885432683</w:t>
                  </w:r>
                </w:p>
              </w:tc>
              <w:tc>
                <w:tcPr>
                  <w:tcW w:type="dxa" w:w="511"/>
                </w:tcPr>
                <w:p>
                  <w:pPr>
                    <w:pStyle w:val="null3"/>
                  </w:pPr>
                  <w:r>
                    <w:rPr>
                      <w:rFonts w:ascii="仿宋_GB2312" w:hAnsi="仿宋_GB2312" w:cs="仿宋_GB2312" w:eastAsia="仿宋_GB2312"/>
                    </w:rPr>
                    <w:t>109.01753872342049</w:t>
                  </w:r>
                </w:p>
              </w:tc>
              <w:tc>
                <w:tcPr>
                  <w:tcW w:type="dxa" w:w="511"/>
                </w:tcPr>
                <w:p>
                  <w:pPr>
                    <w:pStyle w:val="null3"/>
                  </w:pPr>
                  <w:r>
                    <w:rPr>
                      <w:rFonts w:ascii="仿宋_GB2312" w:hAnsi="仿宋_GB2312" w:cs="仿宋_GB2312" w:eastAsia="仿宋_GB2312"/>
                    </w:rPr>
                    <w:t>新筑街道融创望江府DK2</w:t>
                  </w:r>
                </w:p>
              </w:tc>
            </w:tr>
            <w:tr>
              <w:tc>
                <w:tcPr>
                  <w:tcW w:type="dxa" w:w="511"/>
                </w:tcPr>
                <w:p>
                  <w:pPr>
                    <w:pStyle w:val="null3"/>
                  </w:pPr>
                  <w:r>
                    <w:rPr>
                      <w:rFonts w:ascii="仿宋_GB2312" w:hAnsi="仿宋_GB2312" w:cs="仿宋_GB2312" w:eastAsia="仿宋_GB2312"/>
                    </w:rPr>
                    <w:t>20</w:t>
                  </w:r>
                </w:p>
              </w:tc>
              <w:tc>
                <w:tcPr>
                  <w:tcW w:type="dxa" w:w="511"/>
                </w:tcPr>
                <w:p>
                  <w:pPr>
                    <w:pStyle w:val="null3"/>
                  </w:pPr>
                  <w:r>
                    <w:rPr>
                      <w:rFonts w:ascii="仿宋_GB2312" w:hAnsi="仿宋_GB2312" w:cs="仿宋_GB2312" w:eastAsia="仿宋_GB2312"/>
                    </w:rPr>
                    <w:t>云玥府</w:t>
                  </w:r>
                </w:p>
              </w:tc>
              <w:tc>
                <w:tcPr>
                  <w:tcW w:type="dxa" w:w="511"/>
                </w:tcPr>
                <w:p>
                  <w:pPr>
                    <w:pStyle w:val="null3"/>
                  </w:pPr>
                  <w:r>
                    <w:rPr>
                      <w:rFonts w:ascii="仿宋_GB2312" w:hAnsi="仿宋_GB2312" w:cs="仿宋_GB2312" w:eastAsia="仿宋_GB2312"/>
                    </w:rPr>
                    <w:t>34.3799519144009</w:t>
                  </w:r>
                </w:p>
              </w:tc>
              <w:tc>
                <w:tcPr>
                  <w:tcW w:type="dxa" w:w="511"/>
                </w:tcPr>
                <w:p>
                  <w:pPr>
                    <w:pStyle w:val="null3"/>
                  </w:pPr>
                  <w:r>
                    <w:rPr>
                      <w:rFonts w:ascii="仿宋_GB2312" w:hAnsi="仿宋_GB2312" w:cs="仿宋_GB2312" w:eastAsia="仿宋_GB2312"/>
                    </w:rPr>
                    <w:t>109.05034898565778</w:t>
                  </w:r>
                </w:p>
              </w:tc>
              <w:tc>
                <w:tcPr>
                  <w:tcW w:type="dxa" w:w="511"/>
                </w:tcPr>
                <w:p>
                  <w:pPr>
                    <w:pStyle w:val="null3"/>
                  </w:pPr>
                  <w:r>
                    <w:rPr>
                      <w:rFonts w:ascii="仿宋_GB2312" w:hAnsi="仿宋_GB2312" w:cs="仿宋_GB2312" w:eastAsia="仿宋_GB2312"/>
                    </w:rPr>
                    <w:t>新筑街道云玥府6栋</w:t>
                  </w:r>
                </w:p>
              </w:tc>
            </w:tr>
            <w:tr>
              <w:tc>
                <w:tcPr>
                  <w:tcW w:type="dxa" w:w="511"/>
                </w:tcPr>
                <w:p>
                  <w:pPr>
                    <w:pStyle w:val="null3"/>
                  </w:pPr>
                  <w:r>
                    <w:rPr>
                      <w:rFonts w:ascii="仿宋_GB2312" w:hAnsi="仿宋_GB2312" w:cs="仿宋_GB2312" w:eastAsia="仿宋_GB2312"/>
                    </w:rPr>
                    <w:t>21</w:t>
                  </w:r>
                </w:p>
              </w:tc>
              <w:tc>
                <w:tcPr>
                  <w:tcW w:type="dxa" w:w="511"/>
                </w:tcPr>
                <w:p>
                  <w:pPr>
                    <w:pStyle w:val="null3"/>
                  </w:pPr>
                  <w:r>
                    <w:rPr>
                      <w:rFonts w:ascii="仿宋_GB2312" w:hAnsi="仿宋_GB2312" w:cs="仿宋_GB2312" w:eastAsia="仿宋_GB2312"/>
                    </w:rPr>
                    <w:t>陆港海心湾</w:t>
                  </w:r>
                </w:p>
              </w:tc>
              <w:tc>
                <w:tcPr>
                  <w:tcW w:type="dxa" w:w="511"/>
                </w:tcPr>
                <w:p>
                  <w:pPr>
                    <w:pStyle w:val="null3"/>
                  </w:pPr>
                  <w:r>
                    <w:rPr>
                      <w:rFonts w:ascii="仿宋_GB2312" w:hAnsi="仿宋_GB2312" w:cs="仿宋_GB2312" w:eastAsia="仿宋_GB2312"/>
                    </w:rPr>
                    <w:t>34.370103699320005</w:t>
                  </w:r>
                </w:p>
              </w:tc>
              <w:tc>
                <w:tcPr>
                  <w:tcW w:type="dxa" w:w="511"/>
                </w:tcPr>
                <w:p>
                  <w:pPr>
                    <w:pStyle w:val="null3"/>
                  </w:pPr>
                  <w:r>
                    <w:rPr>
                      <w:rFonts w:ascii="仿宋_GB2312" w:hAnsi="仿宋_GB2312" w:cs="仿宋_GB2312" w:eastAsia="仿宋_GB2312"/>
                    </w:rPr>
                    <w:t>109.04569952534713</w:t>
                  </w:r>
                </w:p>
              </w:tc>
              <w:tc>
                <w:tcPr>
                  <w:tcW w:type="dxa" w:w="511"/>
                </w:tcPr>
                <w:p>
                  <w:pPr>
                    <w:pStyle w:val="null3"/>
                  </w:pPr>
                  <w:r>
                    <w:rPr>
                      <w:rFonts w:ascii="仿宋_GB2312" w:hAnsi="仿宋_GB2312" w:cs="仿宋_GB2312" w:eastAsia="仿宋_GB2312"/>
                    </w:rPr>
                    <w:t>新筑街道陆港海心湾一期</w:t>
                  </w:r>
                </w:p>
              </w:tc>
            </w:tr>
            <w:tr>
              <w:tc>
                <w:tcPr>
                  <w:tcW w:type="dxa" w:w="511"/>
                </w:tcPr>
                <w:p>
                  <w:pPr>
                    <w:pStyle w:val="null3"/>
                  </w:pPr>
                  <w:r>
                    <w:rPr>
                      <w:rFonts w:ascii="仿宋_GB2312" w:hAnsi="仿宋_GB2312" w:cs="仿宋_GB2312" w:eastAsia="仿宋_GB2312"/>
                    </w:rPr>
                    <w:t>22</w:t>
                  </w:r>
                </w:p>
              </w:tc>
              <w:tc>
                <w:tcPr>
                  <w:tcW w:type="dxa" w:w="511"/>
                </w:tcPr>
                <w:p>
                  <w:pPr>
                    <w:pStyle w:val="null3"/>
                  </w:pPr>
                  <w:r>
                    <w:rPr>
                      <w:rFonts w:ascii="仿宋_GB2312" w:hAnsi="仿宋_GB2312" w:cs="仿宋_GB2312" w:eastAsia="仿宋_GB2312"/>
                    </w:rPr>
                    <w:t>港悦城</w:t>
                  </w:r>
                </w:p>
              </w:tc>
              <w:tc>
                <w:tcPr>
                  <w:tcW w:type="dxa" w:w="511"/>
                </w:tcPr>
                <w:p>
                  <w:pPr>
                    <w:pStyle w:val="null3"/>
                  </w:pPr>
                  <w:r>
                    <w:rPr>
                      <w:rFonts w:ascii="仿宋_GB2312" w:hAnsi="仿宋_GB2312" w:cs="仿宋_GB2312" w:eastAsia="仿宋_GB2312"/>
                    </w:rPr>
                    <w:t>34.37299755624803</w:t>
                  </w:r>
                </w:p>
              </w:tc>
              <w:tc>
                <w:tcPr>
                  <w:tcW w:type="dxa" w:w="511"/>
                </w:tcPr>
                <w:p>
                  <w:pPr>
                    <w:pStyle w:val="null3"/>
                  </w:pPr>
                  <w:r>
                    <w:rPr>
                      <w:rFonts w:ascii="仿宋_GB2312" w:hAnsi="仿宋_GB2312" w:cs="仿宋_GB2312" w:eastAsia="仿宋_GB2312"/>
                    </w:rPr>
                    <w:t>109.07122491364429</w:t>
                  </w:r>
                </w:p>
              </w:tc>
              <w:tc>
                <w:tcPr>
                  <w:tcW w:type="dxa" w:w="511"/>
                </w:tcPr>
                <w:p>
                  <w:pPr>
                    <w:pStyle w:val="null3"/>
                  </w:pPr>
                  <w:r>
                    <w:rPr>
                      <w:rFonts w:ascii="仿宋_GB2312" w:hAnsi="仿宋_GB2312" w:cs="仿宋_GB2312" w:eastAsia="仿宋_GB2312"/>
                    </w:rPr>
                    <w:t>新筑街道港悦城悦颂</w:t>
                  </w:r>
                </w:p>
              </w:tc>
            </w:tr>
            <w:tr>
              <w:tc>
                <w:tcPr>
                  <w:tcW w:type="dxa" w:w="511"/>
                </w:tcPr>
                <w:p>
                  <w:pPr>
                    <w:pStyle w:val="null3"/>
                  </w:pPr>
                  <w:r>
                    <w:rPr>
                      <w:rFonts w:ascii="仿宋_GB2312" w:hAnsi="仿宋_GB2312" w:cs="仿宋_GB2312" w:eastAsia="仿宋_GB2312"/>
                    </w:rPr>
                    <w:t>23</w:t>
                  </w:r>
                </w:p>
              </w:tc>
              <w:tc>
                <w:tcPr>
                  <w:tcW w:type="dxa" w:w="511"/>
                </w:tcPr>
                <w:p>
                  <w:pPr>
                    <w:pStyle w:val="null3"/>
                  </w:pPr>
                  <w:r>
                    <w:rPr>
                      <w:rFonts w:ascii="仿宋_GB2312" w:hAnsi="仿宋_GB2312" w:cs="仿宋_GB2312" w:eastAsia="仿宋_GB2312"/>
                    </w:rPr>
                    <w:t>奥城云玺</w:t>
                  </w:r>
                </w:p>
              </w:tc>
              <w:tc>
                <w:tcPr>
                  <w:tcW w:type="dxa" w:w="511"/>
                </w:tcPr>
                <w:p>
                  <w:pPr>
                    <w:pStyle w:val="null3"/>
                  </w:pPr>
                  <w:r>
                    <w:rPr>
                      <w:rFonts w:ascii="仿宋_GB2312" w:hAnsi="仿宋_GB2312" w:cs="仿宋_GB2312" w:eastAsia="仿宋_GB2312"/>
                    </w:rPr>
                    <w:t>34.3862774468293</w:t>
                  </w:r>
                </w:p>
              </w:tc>
              <w:tc>
                <w:tcPr>
                  <w:tcW w:type="dxa" w:w="511"/>
                </w:tcPr>
                <w:p>
                  <w:pPr>
                    <w:pStyle w:val="null3"/>
                  </w:pPr>
                  <w:r>
                    <w:rPr>
                      <w:rFonts w:ascii="仿宋_GB2312" w:hAnsi="仿宋_GB2312" w:cs="仿宋_GB2312" w:eastAsia="仿宋_GB2312"/>
                    </w:rPr>
                    <w:t>109.03166446872348</w:t>
                  </w:r>
                </w:p>
              </w:tc>
              <w:tc>
                <w:tcPr>
                  <w:tcW w:type="dxa" w:w="511"/>
                </w:tcPr>
                <w:p>
                  <w:pPr>
                    <w:pStyle w:val="null3"/>
                  </w:pPr>
                  <w:r>
                    <w:rPr>
                      <w:rFonts w:ascii="仿宋_GB2312" w:hAnsi="仿宋_GB2312" w:cs="仿宋_GB2312" w:eastAsia="仿宋_GB2312"/>
                    </w:rPr>
                    <w:t>新筑街道鼎诚御峰里(建设中)</w:t>
                  </w:r>
                </w:p>
              </w:tc>
            </w:tr>
            <w:tr>
              <w:tc>
                <w:tcPr>
                  <w:tcW w:type="dxa" w:w="511"/>
                </w:tcPr>
                <w:p>
                  <w:pPr>
                    <w:pStyle w:val="null3"/>
                  </w:pPr>
                  <w:r>
                    <w:rPr>
                      <w:rFonts w:ascii="仿宋_GB2312" w:hAnsi="仿宋_GB2312" w:cs="仿宋_GB2312" w:eastAsia="仿宋_GB2312"/>
                    </w:rPr>
                    <w:t>24</w:t>
                  </w:r>
                </w:p>
              </w:tc>
              <w:tc>
                <w:tcPr>
                  <w:tcW w:type="dxa" w:w="511"/>
                </w:tcPr>
                <w:p>
                  <w:pPr>
                    <w:pStyle w:val="null3"/>
                  </w:pPr>
                  <w:r>
                    <w:rPr>
                      <w:rFonts w:ascii="仿宋_GB2312" w:hAnsi="仿宋_GB2312" w:cs="仿宋_GB2312" w:eastAsia="仿宋_GB2312"/>
                    </w:rPr>
                    <w:t>灞渭大道北段</w:t>
                  </w:r>
                </w:p>
              </w:tc>
              <w:tc>
                <w:tcPr>
                  <w:tcW w:type="dxa" w:w="511"/>
                </w:tcPr>
                <w:p>
                  <w:pPr>
                    <w:pStyle w:val="null3"/>
                  </w:pPr>
                  <w:r>
                    <w:rPr>
                      <w:rFonts w:ascii="仿宋_GB2312" w:hAnsi="仿宋_GB2312" w:cs="仿宋_GB2312" w:eastAsia="仿宋_GB2312"/>
                    </w:rPr>
                    <w:t>34.411274992366266</w:t>
                  </w:r>
                </w:p>
              </w:tc>
              <w:tc>
                <w:tcPr>
                  <w:tcW w:type="dxa" w:w="511"/>
                </w:tcPr>
                <w:p>
                  <w:pPr>
                    <w:pStyle w:val="null3"/>
                  </w:pPr>
                  <w:r>
                    <w:rPr>
                      <w:rFonts w:ascii="仿宋_GB2312" w:hAnsi="仿宋_GB2312" w:cs="仿宋_GB2312" w:eastAsia="仿宋_GB2312"/>
                    </w:rPr>
                    <w:t>109.01484798964941</w:t>
                  </w:r>
                </w:p>
              </w:tc>
              <w:tc>
                <w:tcPr>
                  <w:tcW w:type="dxa" w:w="511"/>
                </w:tcPr>
                <w:p>
                  <w:pPr>
                    <w:pStyle w:val="null3"/>
                  </w:pPr>
                  <w:r>
                    <w:rPr>
                      <w:rFonts w:ascii="仿宋_GB2312" w:hAnsi="仿宋_GB2312" w:cs="仿宋_GB2312" w:eastAsia="仿宋_GB2312"/>
                    </w:rPr>
                    <w:t>新合街道鹤翔路</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自合同签订之日起至2026年02月28日止。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严格依据《中华人民共和国森林法》《中华人民共和国野生动物保护法》《植物检疫条例》《中华人民共和国湿地保护法》等国家法律法规，以及《陕西省林业有害生物防治检疫条例》《西安市林业发展“十四五”规划》等地方政策文件开展。同时，遵循《森林病虫害监测技术规程》《美国白蛾防控技术规范》《陕西省2025年松材线虫病防治方案》《陆生野生动物疫源疫病监测规范》 《西安浐灞国际港重大林业有害生物防控工作方案》等技术标准，确保项目实施的规范性与科学性。 2.采购人进行验收，若认为验收不合格，供应商应重新调整且进行重新验收。 3.验收依据： ①本项目招标文件、投标文件； ②本合同及附件文本； ③合同签订时国家及行业现行的标准和技术规范。 ④供应商应向采购人提交项目实施过程中的所有资料，以便采购人日后管理和维护。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本项目无预付款，2025年10月底前，依据实际服务内容据实结算相应金额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服务期结束且甲方验收合格后，依据实际服务内容据实结算剩余价款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违约责任：按《中华人民共和国民法典》中的相关条款和本合同的约定执行。未按合同或投标文件要求提供服务质量不能满足甲方技术要求，甲方有权终止合同，甚至对乙方违约行为进行追究。 解决争议的方法：合同执行中发生争议的，当事人双方应协商解决。协商不一致时，向西安仲裁委员会申请仲裁。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1.本项目专门面向中小企业采购。 2.本项目合同包1采购标的所属行业为：其他未列明行业； 3.本项目是否属于信用担保试点范围：否。 4.本项目为固定单价合同。 5.投标人须提供被授权人在本单位的社保证明（社保证明打印时间为开标时间前三个月内)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 2.提供2025年至今已缴纳的至少一个月的纳税证明或完税证明（任意税种），依法免税的单位应提供相关证明材料； 3.提供2025年至今已缴存的至少一个月的社会保障资金缴存单据或社保机构开具的社会保险参保缴费情况证明，依法不需要缴纳社会保障资金的单位应提供相关证明材料； 4.提供具有履行合同所必需的设备和专业技术能力的承诺；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投标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投标文件上法定代表人或其授权代表人的签字、盖章齐全并加盖供应商公章；</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只能有一个有效报价，不得提交选择性报价，且报价不超过最高限价金额；</w:t>
            </w:r>
          </w:p>
        </w:tc>
        <w:tc>
          <w:tcPr>
            <w:tcW w:type="dxa" w:w="1661"/>
          </w:tcPr>
          <w:p>
            <w:pPr>
              <w:pStyle w:val="null3"/>
            </w:pPr>
            <w:r>
              <w:rPr>
                <w:rFonts w:ascii="仿宋_GB2312" w:hAnsi="仿宋_GB2312" w:cs="仿宋_GB2312" w:eastAsia="仿宋_GB2312"/>
              </w:rPr>
              <w:t>开标一览表 分项报价表.docx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投标文件内容齐全、无遗漏（除评标因素外）；</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投标方案.docx 投标函 其它说明.docx 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对本项目背景了解、现状理解透彻、项目目标、任务理解及对项目内容情况理解有详细分析得7-10分； 对本项目背景了解基本正确、现状理解较为简单、项目目标、任务理解及对项目内容情况分析不够详细得4-7分（含7分）； 对本项目背景了解较为简单、现状不够理解、项目目标、任务理解及对项目内容情况分析欠缺得1-4分（含4分）。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根据本项目的服务内容、服务要求等提供详细、全面的服务方案，评标小组对投标文件中提供的以上内容的完整性、科学性、合理性、计划性进行综合评审。 针对本项目所提供的服务方案全面具体规范，合理可行；得10-15分 针对本项目所提供的整体服务方案基本规范，可行性一般；得5-10分（含10分） 针对本项目所提供的整体服务方案不够全面具体，得1-5分（含5分）；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组织机构设置合理，管理人员及技术人员配备数量充足、人员职责明确、分工清晰合理、相关项目实施经验丰富，得7-10分； 组织机构设置较为合理，管理人员及技术人员配备数量较充足、职责较明确、分工较清晰合理、相关项目实施经验较丰富，得4-7分（含7分）； 组织机构设置一般，管理人员及技术人员配备数量不够充足、职责不够明确、分工不够清晰合理，不具备相关项目实施经验，得1-4分（含4分）；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服务进度保障措施</w:t>
            </w:r>
          </w:p>
        </w:tc>
        <w:tc>
          <w:tcPr>
            <w:tcW w:type="dxa" w:w="2492"/>
          </w:tcPr>
          <w:p>
            <w:pPr>
              <w:pStyle w:val="null3"/>
            </w:pPr>
            <w:r>
              <w:rPr>
                <w:rFonts w:ascii="仿宋_GB2312" w:hAnsi="仿宋_GB2312" w:cs="仿宋_GB2312" w:eastAsia="仿宋_GB2312"/>
              </w:rPr>
              <w:t>进度保障措施合理性、措施的可行性。有详细的进度计划和保证措施，且保证措施合理得7-10分； 进度计划较详细，且保障措施简单得4-7（含）分； 进度计划欠缺且保证措施不明确得1-4（含）分。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针对本项目质量保证措施（含服务期内出现安全隐患及满意度下降等情况时的处罚办法）。有具体可行的质量保证措施，方案具体、完整、可操作性强的得7-10分； 质量保证措施较完整、可操作性一般的得4-7分（含7分）； 质量保证措施较完整、可操作性差的得1-4分（含4分）。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针对本项目突发事件应急处理能力和资源调配能力方案完整科学性、可操作性高得4-6分； 突发事件应急处理能力和资源调配能力方案不够完整、不够科学、基本可操作得1-4分（含4分）；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内部管理</w:t>
            </w:r>
          </w:p>
        </w:tc>
        <w:tc>
          <w:tcPr>
            <w:tcW w:type="dxa" w:w="2492"/>
          </w:tcPr>
          <w:p>
            <w:pPr>
              <w:pStyle w:val="null3"/>
            </w:pPr>
            <w:r>
              <w:rPr>
                <w:rFonts w:ascii="仿宋_GB2312" w:hAnsi="仿宋_GB2312" w:cs="仿宋_GB2312" w:eastAsia="仿宋_GB2312"/>
              </w:rPr>
              <w:t>供应商具有清晰明确的内部管理架构、管理理念、激励机制、信息反馈渠道齐全、合理、切实可行得3-6分；内部管理架构、管理理念、激励机制、信息反馈渠道较齐全，但可行性差或无相关管理制度可行得1-3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具有完善的保密措施和保密手段，从管理、人员、技术等各个方面，全面保证采购人数据及相关信息不泄密，并提供保密承诺，保密承诺详细可行得3-5分；保密措施、保密手段、保密承诺简略，可行性较差得1-3分（含3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供应商提供2022年01月01日至今类似项目业绩，每提供1份得2分，最高得8分； 业绩证明（以合同/协议或中标/成交通知书为准，须在投标文件中附合同/协议或中标/成交通知书的扫描件加盖单位公章）弄虚作假者，取消其中标资格。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2.有效最低报价为基准价得20分。 3.按（有效最低报价/有效投标报价）×20 的公式计算其得分。 4.投标报价不完整的，不进入评标基准价的计算，本项得0分。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详见附件：西安浐灞国际港2025年度林业综合技术服务项目合同.docx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