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版本号：CGZC-2025-08020250710001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西安浐灞国际港文化和旅游市场数据统计服务项目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CGZC-2025-080</w:t>
      </w:r>
      <w:r>
        <w:br/>
      </w:r>
      <w:r>
        <w:br/>
      </w:r>
      <w:r>
        <w:br/>
      </w:r>
    </w:p>
    <w:p>
      <w:pPr>
        <w:pStyle w:val="null3"/>
        <w:jc w:val="center"/>
        <w:outlineLvl w:val="2"/>
      </w:pPr>
      <w:r>
        <w:rPr>
          <w:rFonts w:ascii="仿宋_GB2312" w:hAnsi="仿宋_GB2312" w:cs="仿宋_GB2312" w:eastAsia="仿宋_GB2312"/>
          <w:sz w:val="28"/>
          <w:b/>
        </w:rPr>
        <w:t>西安浐灞国际港宣传文体局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西安浐灞国际港宣传文体局</w:t>
      </w:r>
      <w:r>
        <w:rPr>
          <w:rFonts w:ascii="仿宋_GB2312" w:hAnsi="仿宋_GB2312" w:cs="仿宋_GB2312" w:eastAsia="仿宋_GB2312"/>
        </w:rPr>
        <w:t>委托，拟对</w:t>
      </w:r>
      <w:r>
        <w:rPr>
          <w:rFonts w:ascii="仿宋_GB2312" w:hAnsi="仿宋_GB2312" w:cs="仿宋_GB2312" w:eastAsia="仿宋_GB2312"/>
        </w:rPr>
        <w:t>西安浐灞国际港文化和旅游市场数据统计服务项目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CGZC-2025-080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西安浐灞国际港文化和旅游市场数据统计服务项目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抽样调查等方式了解西安浐灞国际港接待国内游客（包括过夜游客和一日游游客）人数、停留时间、旅游花费和构成、旅游目的、客源分布、住宿方式以及在西安浐灞国际港期间食、住、行、游、购、娱等方面的花费情况、游客对旅游设施、人文环境、交通现状的意见和建议等，形成研究分析报告，为制定旅游业发展政策提供依据，为拓展旅游市场提供参考，促进西安浐灞国际港旅游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采购包1（西安浐灞国际港文化和旅游市场数据统计服务项目）：属于专门面向中小企业采购。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西安浐灞国际港宣传文体局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029-83332229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029-83596064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的有关规定执行，不足8000元，按8000元计取。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西安浐灞国际港宣传文体局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西安浐灞国际港宣传文体局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西安浐灞国际港宣传文体局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抽样调查等方式了解西安浐灞国际港接待国内游客（包括过夜游客和一日游游客）人数、停留时间、旅游花费和构成、旅游目的、客源分布、住宿方式以及在西安浐灞国际港期间食、住、行、游、购、娱等方面的花费情况、游客对旅游设施、人文环境、交通现状的意见和建议等，形成研究分析报告，为制定旅游业发展政策提供依据，为拓展旅游市场提供参考，促进西安浐灞国际港旅游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西安浐灞国际港文化和旅游市场数据统计服务项目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标的名称：西安浐灞国际港文化和旅游市场数据统计服务项目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一、项目概况</w:t>
            </w:r>
          </w:p>
          <w:p>
            <w:pPr>
              <w:pStyle w:val="null3"/>
            </w:pPr>
            <w:r>
              <w:rPr>
                <w:rFonts w:ascii="仿宋_GB2312" w:hAnsi="仿宋_GB2312" w:cs="仿宋_GB2312" w:eastAsia="仿宋_GB2312"/>
              </w:rPr>
              <w:t>通过抽样调查等方式了解西安浐灞国际港接待国内游客（包括过夜游客和一日游游客）人数、停留时间、旅游花费和构成、旅游目的、客源分布、住宿方式以及在西安浐灞国际港期间食、住、行、游、购、娱等方面的花费情况、游客对旅游设施、人文环境、交通现状的意见和建议等，形成研究分析报告，为制定旅游业发展政策提供依据，为拓展旅游市场提供参考，促进西安浐灞国际港旅游高质量发展。</w:t>
            </w:r>
          </w:p>
          <w:p>
            <w:pPr>
              <w:pStyle w:val="null3"/>
            </w:pPr>
            <w:r>
              <w:rPr>
                <w:rFonts w:ascii="仿宋_GB2312" w:hAnsi="仿宋_GB2312" w:cs="仿宋_GB2312" w:eastAsia="仿宋_GB2312"/>
                <w:b/>
              </w:rPr>
              <w:t>二、服务内容</w:t>
            </w:r>
          </w:p>
          <w:p>
            <w:pPr>
              <w:pStyle w:val="null3"/>
            </w:pPr>
            <w:r>
              <w:rPr>
                <w:rFonts w:ascii="仿宋_GB2312" w:hAnsi="仿宋_GB2312" w:cs="仿宋_GB2312" w:eastAsia="仿宋_GB2312"/>
              </w:rPr>
              <w:t>（一）调查对象</w:t>
            </w:r>
          </w:p>
          <w:p>
            <w:pPr>
              <w:pStyle w:val="null3"/>
            </w:pPr>
            <w:r>
              <w:rPr>
                <w:rFonts w:ascii="仿宋_GB2312" w:hAnsi="仿宋_GB2312" w:cs="仿宋_GB2312" w:eastAsia="仿宋_GB2312"/>
              </w:rPr>
              <w:t>调查对象为在浐灞国际港旅游的国内游客。</w:t>
            </w:r>
          </w:p>
          <w:p>
            <w:pPr>
              <w:pStyle w:val="null3"/>
            </w:pPr>
            <w:r>
              <w:rPr>
                <w:rFonts w:ascii="仿宋_GB2312" w:hAnsi="仿宋_GB2312" w:cs="仿宋_GB2312" w:eastAsia="仿宋_GB2312"/>
              </w:rPr>
              <w:t>国内游客是指离开惯常居住（生活）、工作（上学）环境（社区、村庄），出游时间超过6小时，但不足12个月，出行距离超过10公里，到国内其它地方观光游览、休闲度假、探亲访友、医疗康养、购物娱乐、学习交流、会议培训或开展经济、文化、体育、宗教等活动的中国（内地）居民。</w:t>
            </w:r>
          </w:p>
          <w:p>
            <w:pPr>
              <w:pStyle w:val="null3"/>
            </w:pPr>
            <w:r>
              <w:rPr>
                <w:rFonts w:ascii="仿宋_GB2312" w:hAnsi="仿宋_GB2312" w:cs="仿宋_GB2312" w:eastAsia="仿宋_GB2312"/>
              </w:rPr>
              <w:t>国内游客包括过夜游客和一日游游客两部分，但不包括因工作或学习在两地有规律往返的中国（内地）居民。</w:t>
            </w:r>
          </w:p>
          <w:p>
            <w:pPr>
              <w:pStyle w:val="null3"/>
            </w:pPr>
            <w:r>
              <w:rPr>
                <w:rFonts w:ascii="仿宋_GB2312" w:hAnsi="仿宋_GB2312" w:cs="仿宋_GB2312" w:eastAsia="仿宋_GB2312"/>
              </w:rPr>
              <w:t>（二）调查方法及数据收集方式</w:t>
            </w:r>
          </w:p>
          <w:p>
            <w:pPr>
              <w:pStyle w:val="null3"/>
            </w:pPr>
            <w:r>
              <w:rPr>
                <w:rFonts w:ascii="仿宋_GB2312" w:hAnsi="仿宋_GB2312" w:cs="仿宋_GB2312" w:eastAsia="仿宋_GB2312"/>
              </w:rPr>
              <w:t>1.调查方法</w:t>
            </w:r>
          </w:p>
          <w:p>
            <w:pPr>
              <w:pStyle w:val="null3"/>
            </w:pPr>
            <w:r>
              <w:rPr>
                <w:rFonts w:ascii="仿宋_GB2312" w:hAnsi="仿宋_GB2312" w:cs="仿宋_GB2312" w:eastAsia="仿宋_GB2312"/>
              </w:rPr>
              <w:t>采用抽样调查方式，以浐灞国际港为独立调查区域开展。在A级旅游景区、红色旅游经典景区、旅游休闲街区、文化场馆、体育场馆等区域、经营性旅游住宿单位等场所确定调查取样点，开展国内游客抽样调查。</w:t>
            </w:r>
          </w:p>
          <w:p>
            <w:pPr>
              <w:pStyle w:val="null3"/>
            </w:pPr>
            <w:r>
              <w:rPr>
                <w:rFonts w:ascii="仿宋_GB2312" w:hAnsi="仿宋_GB2312" w:cs="仿宋_GB2312" w:eastAsia="仿宋_GB2312"/>
              </w:rPr>
              <w:t>2.数据收集方式</w:t>
            </w:r>
          </w:p>
          <w:p>
            <w:pPr>
              <w:pStyle w:val="null3"/>
            </w:pPr>
            <w:r>
              <w:rPr>
                <w:rFonts w:ascii="仿宋_GB2312" w:hAnsi="仿宋_GB2312" w:cs="仿宋_GB2312" w:eastAsia="仿宋_GB2312"/>
              </w:rPr>
              <w:t>抽样调查采取现场访问方式开展，对浐灞国际港国内游客采用等距随机拦截方式随机进行问卷访谈，即由调查员和督导员现场访问国内游客，当场请国内游客填写并收回的方式进行，每月组织一次，且应充分考虑季节性因素，调查时间安排应兼顾寒暑假、法定节假日、工作日等时段。</w:t>
            </w:r>
          </w:p>
          <w:p>
            <w:pPr>
              <w:pStyle w:val="null3"/>
            </w:pPr>
            <w:r>
              <w:rPr>
                <w:rFonts w:ascii="仿宋_GB2312" w:hAnsi="仿宋_GB2312" w:cs="仿宋_GB2312" w:eastAsia="仿宋_GB2312"/>
              </w:rPr>
              <w:t>（三）调查内容</w:t>
            </w:r>
          </w:p>
          <w:p>
            <w:pPr>
              <w:pStyle w:val="null3"/>
            </w:pPr>
            <w:r>
              <w:rPr>
                <w:rFonts w:ascii="仿宋_GB2312" w:hAnsi="仿宋_GB2312" w:cs="仿宋_GB2312" w:eastAsia="仿宋_GB2312"/>
              </w:rPr>
              <w:t>国内游客调查资料内容主要包括：</w:t>
            </w:r>
          </w:p>
          <w:p>
            <w:pPr>
              <w:pStyle w:val="null3"/>
            </w:pPr>
            <w:r>
              <w:rPr>
                <w:rFonts w:ascii="仿宋_GB2312" w:hAnsi="仿宋_GB2312" w:cs="仿宋_GB2312" w:eastAsia="仿宋_GB2312"/>
              </w:rPr>
              <w:t>1.国内游客的构成：包括游客常住地、性别、年龄等；</w:t>
            </w:r>
          </w:p>
          <w:p>
            <w:pPr>
              <w:pStyle w:val="null3"/>
            </w:pPr>
            <w:r>
              <w:rPr>
                <w:rFonts w:ascii="仿宋_GB2312" w:hAnsi="仿宋_GB2312" w:cs="仿宋_GB2312" w:eastAsia="仿宋_GB2312"/>
              </w:rPr>
              <w:t>2.国内游客来浐灞国际港的旅游目的；</w:t>
            </w:r>
          </w:p>
          <w:p>
            <w:pPr>
              <w:pStyle w:val="null3"/>
            </w:pPr>
            <w:r>
              <w:rPr>
                <w:rFonts w:ascii="仿宋_GB2312" w:hAnsi="仿宋_GB2312" w:cs="仿宋_GB2312" w:eastAsia="仿宋_GB2312"/>
              </w:rPr>
              <w:t>3.国内游客来浐灞国际港的游览方式；</w:t>
            </w:r>
          </w:p>
          <w:p>
            <w:pPr>
              <w:pStyle w:val="null3"/>
            </w:pPr>
            <w:r>
              <w:rPr>
                <w:rFonts w:ascii="仿宋_GB2312" w:hAnsi="仿宋_GB2312" w:cs="仿宋_GB2312" w:eastAsia="仿宋_GB2312"/>
              </w:rPr>
              <w:t>4.来浐灞国际港的出行方式；</w:t>
            </w:r>
          </w:p>
          <w:p>
            <w:pPr>
              <w:pStyle w:val="null3"/>
            </w:pPr>
            <w:r>
              <w:rPr>
                <w:rFonts w:ascii="仿宋_GB2312" w:hAnsi="仿宋_GB2312" w:cs="仿宋_GB2312" w:eastAsia="仿宋_GB2312"/>
              </w:rPr>
              <w:t>5.国内游客在浐灞国际港住宿设施的选择及停留时间；</w:t>
            </w:r>
          </w:p>
          <w:p>
            <w:pPr>
              <w:pStyle w:val="null3"/>
            </w:pPr>
            <w:r>
              <w:rPr>
                <w:rFonts w:ascii="仿宋_GB2312" w:hAnsi="仿宋_GB2312" w:cs="仿宋_GB2312" w:eastAsia="仿宋_GB2312"/>
              </w:rPr>
              <w:t>6.国内游客在浐灞国际港旅游的花费及构成；</w:t>
            </w:r>
          </w:p>
          <w:p>
            <w:pPr>
              <w:pStyle w:val="null3"/>
            </w:pPr>
            <w:r>
              <w:rPr>
                <w:rFonts w:ascii="仿宋_GB2312" w:hAnsi="仿宋_GB2312" w:cs="仿宋_GB2312" w:eastAsia="仿宋_GB2312"/>
              </w:rPr>
              <w:t>7.游客在浐灞国际港的重游率；</w:t>
            </w:r>
          </w:p>
          <w:p>
            <w:pPr>
              <w:pStyle w:val="null3"/>
            </w:pPr>
            <w:r>
              <w:rPr>
                <w:rFonts w:ascii="仿宋_GB2312" w:hAnsi="仿宋_GB2312" w:cs="仿宋_GB2312" w:eastAsia="仿宋_GB2312"/>
              </w:rPr>
              <w:t>8.游客游览景点数及旅游流向；</w:t>
            </w:r>
          </w:p>
          <w:p>
            <w:pPr>
              <w:pStyle w:val="null3"/>
            </w:pPr>
            <w:r>
              <w:rPr>
                <w:rFonts w:ascii="仿宋_GB2312" w:hAnsi="仿宋_GB2312" w:cs="仿宋_GB2312" w:eastAsia="仿宋_GB2312"/>
              </w:rPr>
              <w:t>9.国内游客对浐灞国际港旅游服务及质量的评价；</w:t>
            </w:r>
          </w:p>
          <w:p>
            <w:pPr>
              <w:pStyle w:val="null3"/>
            </w:pPr>
            <w:r>
              <w:rPr>
                <w:rFonts w:ascii="仿宋_GB2312" w:hAnsi="仿宋_GB2312" w:cs="仿宋_GB2312" w:eastAsia="仿宋_GB2312"/>
              </w:rPr>
              <w:t>10.了解浐灞国际港旅游信息的渠道；</w:t>
            </w:r>
          </w:p>
          <w:p>
            <w:pPr>
              <w:pStyle w:val="null3"/>
            </w:pPr>
            <w:r>
              <w:rPr>
                <w:rFonts w:ascii="仿宋_GB2312" w:hAnsi="仿宋_GB2312" w:cs="仿宋_GB2312" w:eastAsia="仿宋_GB2312"/>
              </w:rPr>
              <w:t>11.对浐灞国际港旅游资源的偏好；</w:t>
            </w:r>
          </w:p>
          <w:p>
            <w:pPr>
              <w:pStyle w:val="null3"/>
            </w:pPr>
            <w:r>
              <w:rPr>
                <w:rFonts w:ascii="仿宋_GB2312" w:hAnsi="仿宋_GB2312" w:cs="仿宋_GB2312" w:eastAsia="仿宋_GB2312"/>
              </w:rPr>
              <w:t>12.对浐灞国际港旅游业的建议和意见；</w:t>
            </w:r>
          </w:p>
          <w:p>
            <w:pPr>
              <w:pStyle w:val="null3"/>
            </w:pPr>
            <w:r>
              <w:rPr>
                <w:rFonts w:ascii="仿宋_GB2312" w:hAnsi="仿宋_GB2312" w:cs="仿宋_GB2312" w:eastAsia="仿宋_GB2312"/>
              </w:rPr>
              <w:t>13.有助于西安浐灞国际港旅游业发展方针政策的其他事项。</w:t>
            </w:r>
          </w:p>
          <w:p>
            <w:pPr>
              <w:pStyle w:val="null3"/>
            </w:pPr>
            <w:r>
              <w:rPr>
                <w:rFonts w:ascii="仿宋_GB2312" w:hAnsi="仿宋_GB2312" w:cs="仿宋_GB2312" w:eastAsia="仿宋_GB2312"/>
              </w:rPr>
              <w:t>（四）样本量要求</w:t>
            </w:r>
          </w:p>
          <w:p>
            <w:pPr>
              <w:pStyle w:val="null3"/>
            </w:pPr>
            <w:r>
              <w:rPr>
                <w:rFonts w:ascii="仿宋_GB2312" w:hAnsi="仿宋_GB2312" w:cs="仿宋_GB2312" w:eastAsia="仿宋_GB2312"/>
              </w:rPr>
              <w:t>有效总样本量不少于4000份。</w:t>
            </w:r>
          </w:p>
          <w:p>
            <w:pPr>
              <w:pStyle w:val="null3"/>
            </w:pPr>
            <w:r>
              <w:rPr>
                <w:rFonts w:ascii="仿宋_GB2312" w:hAnsi="仿宋_GB2312" w:cs="仿宋_GB2312" w:eastAsia="仿宋_GB2312"/>
              </w:rPr>
              <w:t>（五）报告要求</w:t>
            </w:r>
          </w:p>
          <w:p>
            <w:pPr>
              <w:pStyle w:val="null3"/>
            </w:pPr>
            <w:r>
              <w:rPr>
                <w:rFonts w:ascii="仿宋_GB2312" w:hAnsi="仿宋_GB2312" w:cs="仿宋_GB2312" w:eastAsia="仿宋_GB2312"/>
              </w:rPr>
              <w:t>本次调查所产出的报告内容主要由西安浐灞国际港游客总量研究、西安浐灞国际港游客旅游消费水平及消费结构研究、游客来源及构成研究、对西安浐灞国际港旅游行业服务满意度的评价研究及其他方面等组成。月度提供主要指标测算，季度、年度、节假日提供报告（2份纸质版和一份电子版）。报告包含且不限于以下内容：</w:t>
            </w:r>
          </w:p>
          <w:p>
            <w:pPr>
              <w:pStyle w:val="null3"/>
            </w:pPr>
            <w:r>
              <w:rPr>
                <w:rFonts w:ascii="仿宋_GB2312" w:hAnsi="仿宋_GB2312" w:cs="仿宋_GB2312" w:eastAsia="仿宋_GB2312"/>
              </w:rPr>
              <w:t xml:space="preserve">1.西安浐灞国际港季度、年度、节假日游客总量 </w:t>
            </w:r>
          </w:p>
          <w:p>
            <w:pPr>
              <w:pStyle w:val="null3"/>
            </w:pPr>
            <w:r>
              <w:rPr>
                <w:rFonts w:ascii="仿宋_GB2312" w:hAnsi="仿宋_GB2312" w:cs="仿宋_GB2312" w:eastAsia="仿宋_GB2312"/>
              </w:rPr>
              <w:t>国内游客总人次包括：一日游游客总人次和过夜游客总人次</w:t>
            </w:r>
          </w:p>
          <w:p>
            <w:pPr>
              <w:pStyle w:val="null3"/>
            </w:pPr>
            <w:r>
              <w:rPr>
                <w:rFonts w:ascii="仿宋_GB2312" w:hAnsi="仿宋_GB2312" w:cs="仿宋_GB2312" w:eastAsia="仿宋_GB2312"/>
              </w:rPr>
              <w:t>2.西安浐灞国际港季度、年度、节假日游客旅游消费水平及消费结构</w:t>
            </w:r>
          </w:p>
          <w:p>
            <w:pPr>
              <w:pStyle w:val="null3"/>
            </w:pPr>
            <w:r>
              <w:rPr>
                <w:rFonts w:ascii="仿宋_GB2312" w:hAnsi="仿宋_GB2312" w:cs="仿宋_GB2312" w:eastAsia="仿宋_GB2312"/>
              </w:rPr>
              <w:t>国内游客在西安浐灞国际港的人均旅游消费支出及消费结构，包括：一日游游客的人均旅游消费支出和过夜游客人均旅游消费支出；一日游游客基本情况及过夜游客在西安浐灞国际港的停留时间及构成。</w:t>
            </w:r>
          </w:p>
          <w:p>
            <w:pPr>
              <w:pStyle w:val="null3"/>
            </w:pPr>
            <w:r>
              <w:rPr>
                <w:rFonts w:ascii="仿宋_GB2312" w:hAnsi="仿宋_GB2312" w:cs="仿宋_GB2312" w:eastAsia="仿宋_GB2312"/>
              </w:rPr>
              <w:t>3.西安浐灞国际港季度、年度、节假日游客来源及游客构成</w:t>
            </w:r>
          </w:p>
          <w:p>
            <w:pPr>
              <w:pStyle w:val="null3"/>
            </w:pPr>
            <w:r>
              <w:rPr>
                <w:rFonts w:ascii="仿宋_GB2312" w:hAnsi="仿宋_GB2312" w:cs="仿宋_GB2312" w:eastAsia="仿宋_GB2312"/>
              </w:rPr>
              <w:t>游客来源，包括外省市游客来源及分布和省内游客来源及分布；游客构成，包括住宿单位游客构成和旅游吸引物游客构成，主要包含游客基本结构（年龄、性别、城镇/农村等类型）、游客旅游方式以及旅游目的、游客在西安浐灞国际港游览景点数等。</w:t>
            </w:r>
          </w:p>
          <w:p>
            <w:pPr>
              <w:pStyle w:val="null3"/>
            </w:pPr>
            <w:r>
              <w:rPr>
                <w:rFonts w:ascii="仿宋_GB2312" w:hAnsi="仿宋_GB2312" w:cs="仿宋_GB2312" w:eastAsia="仿宋_GB2312"/>
              </w:rPr>
              <w:t>4.西安浐灞国际港季度、年度、节假日游客对西安浐灞国际港旅游行业服务满意度的评价</w:t>
            </w:r>
          </w:p>
          <w:p>
            <w:pPr>
              <w:pStyle w:val="null3"/>
            </w:pPr>
            <w:r>
              <w:rPr>
                <w:rFonts w:ascii="仿宋_GB2312" w:hAnsi="仿宋_GB2312" w:cs="仿宋_GB2312" w:eastAsia="仿宋_GB2312"/>
              </w:rPr>
              <w:t>行业服务综合评价得分，交通、住宿、餐饮、购物、游览、娱乐等主要旅游服务内容的评价得分。</w:t>
            </w:r>
          </w:p>
          <w:p>
            <w:pPr>
              <w:pStyle w:val="null3"/>
            </w:pPr>
            <w:r>
              <w:rPr>
                <w:rFonts w:ascii="仿宋_GB2312" w:hAnsi="仿宋_GB2312" w:cs="仿宋_GB2312" w:eastAsia="仿宋_GB2312"/>
              </w:rPr>
              <w:t>（六）其他内容分析</w:t>
            </w:r>
          </w:p>
          <w:p>
            <w:pPr>
              <w:pStyle w:val="null3"/>
            </w:pPr>
            <w:r>
              <w:rPr>
                <w:rFonts w:ascii="仿宋_GB2312" w:hAnsi="仿宋_GB2312" w:cs="仿宋_GB2312" w:eastAsia="仿宋_GB2312"/>
                <w:b/>
              </w:rPr>
              <w:t>三、技术要求</w:t>
            </w:r>
          </w:p>
          <w:p>
            <w:pPr>
              <w:pStyle w:val="null3"/>
            </w:pPr>
            <w:r>
              <w:rPr>
                <w:rFonts w:ascii="仿宋_GB2312" w:hAnsi="仿宋_GB2312" w:cs="仿宋_GB2312" w:eastAsia="仿宋_GB2312"/>
              </w:rPr>
              <w:t>供应商应提供满足抽样调查所需的能覆盖全区调查点的抽样框，以保证样本的随机性和代表性。供应商有自主研发的调研系统，可实现空间定位、录音等多种方式的远程监控，并提供调研系统界面。</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（一）供应商提供针对本项目拟投入的工作人员分配合理，责任分工明确。</w:t>
            </w:r>
          </w:p>
          <w:p>
            <w:pPr>
              <w:pStyle w:val="null3"/>
            </w:pPr>
            <w:r>
              <w:rPr>
                <w:rFonts w:ascii="仿宋_GB2312" w:hAnsi="仿宋_GB2312" w:cs="仿宋_GB2312" w:eastAsia="仿宋_GB2312"/>
              </w:rPr>
              <w:t>（二）针对本项目的主要负责人和项目组成人员有丰富的旅游行业经验。</w:t>
            </w:r>
          </w:p>
          <w:p>
            <w:pPr>
              <w:pStyle w:val="null3"/>
            </w:pPr>
            <w:r>
              <w:rPr>
                <w:rFonts w:ascii="仿宋_GB2312" w:hAnsi="仿宋_GB2312" w:cs="仿宋_GB2312" w:eastAsia="仿宋_GB2312"/>
              </w:rPr>
              <w:t>（三）拟派本项目项目团队人员具有经济类或统计类中级或以上职称。</w:t>
            </w:r>
          </w:p>
          <w:p>
            <w:pPr>
              <w:pStyle w:val="null3"/>
            </w:pPr>
            <w:r>
              <w:rPr>
                <w:rFonts w:ascii="仿宋_GB2312" w:hAnsi="仿宋_GB2312" w:cs="仿宋_GB2312" w:eastAsia="仿宋_GB2312"/>
              </w:rPr>
              <w:t>（四）提供调查需要的专业设备设施及辅助工具。</w:t>
            </w:r>
          </w:p>
          <w:p>
            <w:pPr>
              <w:pStyle w:val="null3"/>
            </w:pPr>
            <w:r>
              <w:rPr>
                <w:rFonts w:ascii="仿宋_GB2312" w:hAnsi="仿宋_GB2312" w:cs="仿宋_GB2312" w:eastAsia="仿宋_GB2312"/>
                <w:b/>
              </w:rPr>
              <w:t>五、其他</w:t>
            </w:r>
          </w:p>
          <w:p>
            <w:pPr>
              <w:pStyle w:val="null3"/>
            </w:pPr>
            <w:r>
              <w:rPr>
                <w:rFonts w:ascii="仿宋_GB2312" w:hAnsi="仿宋_GB2312" w:cs="仿宋_GB2312" w:eastAsia="仿宋_GB2312"/>
              </w:rPr>
              <w:t>1.根据需求，至少安排2名专业人员，配合采购人进行相关工作。</w:t>
            </w:r>
          </w:p>
          <w:p>
            <w:pPr>
              <w:pStyle w:val="null3"/>
            </w:pPr>
            <w:r>
              <w:rPr>
                <w:rFonts w:ascii="仿宋_GB2312" w:hAnsi="仿宋_GB2312" w:cs="仿宋_GB2312" w:eastAsia="仿宋_GB2312"/>
              </w:rPr>
              <w:t>2.配合采购人进行与本项目调研相关的汇报审核，并按照采购人要求制作、整理相关文件及材料。</w:t>
            </w:r>
          </w:p>
          <w:p>
            <w:pPr>
              <w:pStyle w:val="null3"/>
            </w:pPr>
            <w:r>
              <w:rPr>
                <w:rFonts w:ascii="仿宋_GB2312" w:hAnsi="仿宋_GB2312" w:cs="仿宋_GB2312" w:eastAsia="仿宋_GB2312"/>
              </w:rPr>
              <w:t>3.演唱会专项总结报告不少于2份。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1、招标文件、投标文件、澄清表（函）；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45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服务期满，完成所有项目内容，提交调查分析报告，并经采购人验收合格后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包括但不限于人工费、专业设备设施及辅助工具费、组织实施费、办公费、保险、招标代理服务费、利润、税金、风险、协调费用及完成工作准备阶段、实施阶段、交付阶段、验收阶段等其他一切相关费用。任何有选择的报价将不予接受，否则按无效磋商处理。 （2）项目属性：服务。 （3）本项目所属行业为：其他未列明行业,根据《工业和信息化部 国家统计局国家发展和改革委员会 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（6）若为被授权人参加投标，投标文件中需提供被授权人在本单位的社保证明材料。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提出针对于本项目的总体服务方案，方案内容不限于包括调研目的、调查对象、调查方法、调查内容、样本量的要求等内容。 方案详细完整、实施性强、有具体的技术措施、细节考虑到位得[10-15]分； 服务方案较全面、实施性较强得[5-10)分； 服务方案不全面，实施性一般得[0-5)分。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针对本项目制定详细可行的组织实施方案，包括调查指标设计、抽样框及样本量设计、调查流程及进度安排等。 组织实施方案完善、合理，可实施性强得[10-15]分； 方案基本完整、可行，可实施性一般得[5-10)分； 方案不全面，可实施性一般得[0-5)分。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分析报告编制方案</w:t>
            </w:r>
          </w:p>
        </w:tc>
        <w:tc>
          <w:tcPr>
            <w:tcW w:type="dxa" w:w="2492"/>
          </w:tcPr>
          <w:p>
            <w:pPr>
              <w:pStyle w:val="null3"/>
            </w:pPr>
            <w:r>
              <w:rPr>
                <w:rFonts w:ascii="仿宋_GB2312" w:hAnsi="仿宋_GB2312" w:cs="仿宋_GB2312" w:eastAsia="仿宋_GB2312"/>
              </w:rPr>
              <w:t>提供详细的分析报告编制方案，报告编制满足项目需求。 编制方案详细完整、实施性强、有具体的技术措施、细节考虑到位得[7-10]分； 编制方案较全面、实施性较强得[4-7)分； 编制方案不全面，实施性一般得[0-4)分。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组织机构1</w:t>
            </w:r>
          </w:p>
        </w:tc>
        <w:tc>
          <w:tcPr>
            <w:tcW w:type="dxa" w:w="2492"/>
          </w:tcPr>
          <w:p>
            <w:pPr>
              <w:pStyle w:val="null3"/>
            </w:pPr>
            <w:r>
              <w:rPr>
                <w:rFonts w:ascii="仿宋_GB2312" w:hAnsi="仿宋_GB2312" w:cs="仿宋_GB2312" w:eastAsia="仿宋_GB2312"/>
              </w:rPr>
              <w:t>1.组织机构人员配备合理、有主管及技术骨干的配置、员工数量、素质标准、等满足项目需求，人员岗位经验丰富，分工职责明确。人员配备设置合理，管理及专业人员配备齐全、分工及职责明确，且能满足项目需求，得[7-10]分； 人员配备较合理，经验较为丰富，分工职责基本明确，基本满足项目需要，得[4-7)分； 人员配备欠合理，分工职责欠明确，内容笼统描述简单，得[0-4)分。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组织机构2</w:t>
            </w:r>
          </w:p>
        </w:tc>
        <w:tc>
          <w:tcPr>
            <w:tcW w:type="dxa" w:w="2492"/>
          </w:tcPr>
          <w:p>
            <w:pPr>
              <w:pStyle w:val="null3"/>
            </w:pPr>
            <w:r>
              <w:rPr>
                <w:rFonts w:ascii="仿宋_GB2312" w:hAnsi="仿宋_GB2312" w:cs="仿宋_GB2312" w:eastAsia="仿宋_GB2312"/>
              </w:rPr>
              <w:t>拟派本项目团队人员具有经济类或统计类中级及以上职称且有5年旅游行业从业经验（以服务单位开具的证明函为准），每有一个得2.5分，最多得5分。未提供不得分。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对比各供应商服务承诺，承诺事项具体、可行、可操作性强得[3-5]分； 承诺事项较具体、可行、可操作性较强得[2-3)分； 承诺事项不具体或较差得[0-2)分。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供应商针对本项目服务过程突发和临时事件的预计、应急处理能力，制定完善、具体、可行的应急预案。 应急预案实用，经济，切实可行得[3-5]分； 应急预案实用性、经济性较好得[2-3)分； 应急预案实用性、经济性一般，可行性一般得[0-2)分。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拟投入专业设备设施及辅助工具</w:t>
            </w:r>
          </w:p>
        </w:tc>
        <w:tc>
          <w:tcPr>
            <w:tcW w:type="dxa" w:w="2492"/>
          </w:tcPr>
          <w:p>
            <w:pPr>
              <w:pStyle w:val="null3"/>
            </w:pPr>
            <w:r>
              <w:rPr>
                <w:rFonts w:ascii="仿宋_GB2312" w:hAnsi="仿宋_GB2312" w:cs="仿宋_GB2312" w:eastAsia="仿宋_GB2312"/>
              </w:rPr>
              <w:t>提供拟投入专业设备设施及辅助工具清单，种类齐全、能满足采购需求、能保证及时补充、更换。 投入清单详细完整，数量充足，配备合理高效，满足项目的实际需求得[3-5]分； 投入清单比较详细，数量较为充足，基本满足项目需求得[2-3)分； 投入清单配备不合理，不能满足采购需求的，根据响应情况得[0-2)分。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1.项目负责人业绩：提供项目负责人近三年（2022年1月至今，以签订合同时间为准）具有类似项目业绩。每提供一个得2.5分，最高得5分。（业绩需体现项目负责人姓名，未按要求提供，不计分）； 2.企业业绩：供应商近三年（2022年1月至今，以签订合同时间为准）具有类似项目业绩，每提供一个得2.5分，最高得10分。 注：1).业绩证明资料以合同为准； 2).项目负责人业绩与企业业绩不重复计分。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2.满足磋商文件实质性要求且最终报价最低的供应商的价格为磋商基准价，其价格分为满分15分。 3.磋商报价得分=（磋商基准价/最终磋商报价）×15的公式计算得分。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