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4B248">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lang w:eastAsia="zh-CN"/>
        </w:rPr>
      </w:pPr>
    </w:p>
    <w:p w14:paraId="3F616F9F">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lang w:eastAsia="zh-CN"/>
        </w:rPr>
      </w:pPr>
    </w:p>
    <w:p w14:paraId="0E8AA496">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lang w:eastAsia="zh-CN"/>
        </w:rPr>
      </w:pPr>
    </w:p>
    <w:p w14:paraId="7B65BC36">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p>
    <w:p w14:paraId="3C75DC73">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p>
    <w:p w14:paraId="03C42652">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val="zh-TW" w:eastAsia="zh-TW"/>
        </w:rPr>
      </w:pPr>
      <w:r>
        <w:rPr>
          <w:rFonts w:hint="eastAsia" w:cs="宋体"/>
          <w:b/>
          <w:bCs/>
          <w:color w:val="auto"/>
          <w:sz w:val="48"/>
          <w:szCs w:val="48"/>
          <w:highlight w:val="none"/>
          <w:lang w:eastAsia="zh-CN"/>
        </w:rPr>
        <w:t>西安浐灞国际港文化和旅游市场数据统计服务项目</w:t>
      </w:r>
    </w:p>
    <w:p w14:paraId="1B531465">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val="zh-TW" w:eastAsia="zh-TW"/>
        </w:rPr>
      </w:pPr>
    </w:p>
    <w:p w14:paraId="58DDFF83">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bookmarkStart w:id="0" w:name="_Toc20701"/>
      <w:r>
        <w:rPr>
          <w:rFonts w:hint="eastAsia" w:cs="宋体"/>
          <w:b/>
          <w:bCs/>
          <w:color w:val="auto"/>
          <w:sz w:val="48"/>
          <w:szCs w:val="48"/>
          <w:highlight w:val="none"/>
          <w:lang w:eastAsia="zh-CN"/>
        </w:rPr>
        <w:t>(</w:t>
      </w:r>
      <w:r>
        <w:rPr>
          <w:rFonts w:hint="eastAsia" w:ascii="宋体" w:hAnsi="宋体" w:eastAsia="宋体" w:cs="宋体"/>
          <w:b/>
          <w:bCs/>
          <w:color w:val="auto"/>
          <w:sz w:val="48"/>
          <w:szCs w:val="48"/>
          <w:highlight w:val="none"/>
        </w:rPr>
        <w:t>示范文本</w:t>
      </w:r>
      <w:bookmarkEnd w:id="0"/>
      <w:r>
        <w:rPr>
          <w:rFonts w:hint="eastAsia" w:cs="宋体"/>
          <w:b/>
          <w:bCs/>
          <w:color w:val="auto"/>
          <w:sz w:val="48"/>
          <w:szCs w:val="48"/>
          <w:highlight w:val="none"/>
          <w:lang w:eastAsia="zh-CN"/>
        </w:rPr>
        <w:t>)</w:t>
      </w:r>
    </w:p>
    <w:p w14:paraId="51C57364">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52E9B4CD">
      <w:pPr>
        <w:pStyle w:val="2"/>
        <w:shd w:val="clear"/>
        <w:rPr>
          <w:rFonts w:hint="eastAsia" w:ascii="宋体" w:hAnsi="宋体" w:eastAsia="宋体" w:cs="宋体"/>
          <w:color w:val="auto"/>
          <w:highlight w:val="none"/>
        </w:rPr>
      </w:pPr>
    </w:p>
    <w:p w14:paraId="7476A3D8">
      <w:pPr>
        <w:pStyle w:val="2"/>
        <w:shd w:val="clear"/>
        <w:rPr>
          <w:rFonts w:hint="eastAsia" w:ascii="宋体" w:hAnsi="宋体" w:eastAsia="宋体" w:cs="宋体"/>
          <w:color w:val="auto"/>
          <w:highlight w:val="none"/>
        </w:rPr>
      </w:pPr>
    </w:p>
    <w:p w14:paraId="05F362AE">
      <w:pPr>
        <w:pStyle w:val="2"/>
        <w:shd w:val="clear"/>
        <w:rPr>
          <w:rFonts w:hint="eastAsia" w:ascii="宋体" w:hAnsi="宋体" w:eastAsia="宋体" w:cs="宋体"/>
          <w:color w:val="auto"/>
          <w:highlight w:val="none"/>
        </w:rPr>
      </w:pPr>
    </w:p>
    <w:p w14:paraId="5BD126C4">
      <w:pPr>
        <w:pStyle w:val="2"/>
        <w:shd w:val="clear"/>
        <w:rPr>
          <w:rFonts w:hint="eastAsia" w:ascii="宋体" w:hAnsi="宋体" w:eastAsia="宋体" w:cs="宋体"/>
          <w:color w:val="auto"/>
          <w:highlight w:val="none"/>
        </w:rPr>
      </w:pPr>
    </w:p>
    <w:p w14:paraId="46365C71">
      <w:pPr>
        <w:pStyle w:val="2"/>
        <w:shd w:val="clear"/>
        <w:rPr>
          <w:rFonts w:hint="eastAsia" w:ascii="宋体" w:hAnsi="宋体" w:eastAsia="宋体" w:cs="宋体"/>
          <w:color w:val="auto"/>
          <w:highlight w:val="none"/>
        </w:rPr>
      </w:pPr>
    </w:p>
    <w:p w14:paraId="04D2E48C">
      <w:pPr>
        <w:pStyle w:val="2"/>
        <w:shd w:val="clear"/>
        <w:rPr>
          <w:rFonts w:hint="eastAsia" w:ascii="宋体" w:hAnsi="宋体" w:eastAsia="宋体" w:cs="宋体"/>
          <w:color w:val="auto"/>
          <w:highlight w:val="none"/>
        </w:rPr>
      </w:pPr>
    </w:p>
    <w:p w14:paraId="29DA591F">
      <w:pPr>
        <w:pStyle w:val="2"/>
        <w:shd w:val="clear"/>
        <w:rPr>
          <w:rFonts w:hint="eastAsia" w:ascii="宋体" w:hAnsi="宋体" w:eastAsia="宋体" w:cs="宋体"/>
          <w:color w:val="auto"/>
          <w:highlight w:val="none"/>
        </w:rPr>
      </w:pPr>
    </w:p>
    <w:p w14:paraId="0316EFB4">
      <w:pPr>
        <w:pStyle w:val="2"/>
        <w:shd w:val="clear"/>
        <w:rPr>
          <w:rFonts w:hint="eastAsia" w:ascii="宋体" w:hAnsi="宋体" w:eastAsia="宋体" w:cs="宋体"/>
          <w:color w:val="auto"/>
          <w:highlight w:val="none"/>
        </w:rPr>
      </w:pPr>
    </w:p>
    <w:p w14:paraId="600BD0BA">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01B0FB9C">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79F44BC0">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rPr>
        <w:t>甲方：</w:t>
      </w:r>
      <w:r>
        <w:rPr>
          <w:rFonts w:hint="eastAsia" w:cs="宋体"/>
          <w:b/>
          <w:bCs/>
          <w:color w:val="auto"/>
          <w:sz w:val="36"/>
          <w:szCs w:val="36"/>
          <w:highlight w:val="none"/>
          <w:u w:val="single"/>
          <w:lang w:val="en-US" w:eastAsia="zh-CN"/>
        </w:rPr>
        <w:t xml:space="preserve">                       </w:t>
      </w:r>
    </w:p>
    <w:p w14:paraId="3E92CEDF">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eastAsia" w:ascii="宋体" w:hAnsi="宋体" w:eastAsia="宋体" w:cs="宋体"/>
          <w:b/>
          <w:bCs/>
          <w:color w:val="auto"/>
          <w:sz w:val="36"/>
          <w:szCs w:val="36"/>
          <w:highlight w:val="none"/>
        </w:rPr>
      </w:pPr>
    </w:p>
    <w:p w14:paraId="53C34E21">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乙方：</w:t>
      </w:r>
      <w:r>
        <w:rPr>
          <w:rFonts w:hint="eastAsia" w:cs="宋体"/>
          <w:b/>
          <w:bCs/>
          <w:color w:val="auto"/>
          <w:sz w:val="36"/>
          <w:szCs w:val="36"/>
          <w:highlight w:val="none"/>
          <w:u w:val="single"/>
          <w:lang w:val="en-US" w:eastAsia="zh-CN"/>
        </w:rPr>
        <w:t xml:space="preserve">                       </w:t>
      </w:r>
    </w:p>
    <w:p w14:paraId="51E6CBA4">
      <w:pPr>
        <w:shd w:val="clea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A8812D7">
      <w:pPr>
        <w:keepNext w:val="0"/>
        <w:keepLines w:val="0"/>
        <w:pageBreakBefore w:val="0"/>
        <w:widowControl w:val="0"/>
        <w:shd w:val="clear"/>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甲  方</w:t>
      </w:r>
      <w:r>
        <w:rPr>
          <w:rFonts w:hint="eastAsia" w:ascii="宋体" w:hAnsi="宋体" w:eastAsia="宋体" w:cs="宋体"/>
          <w:b/>
          <w:color w:val="auto"/>
          <w:sz w:val="21"/>
          <w:szCs w:val="21"/>
          <w:highlight w:val="none"/>
        </w:rPr>
        <w:t>（全称）：</w:t>
      </w:r>
      <w:r>
        <w:rPr>
          <w:rFonts w:hint="eastAsia" w:ascii="宋体" w:hAnsi="宋体" w:eastAsia="宋体" w:cs="宋体"/>
          <w:b/>
          <w:color w:val="auto"/>
          <w:sz w:val="21"/>
          <w:szCs w:val="21"/>
          <w:highlight w:val="none"/>
          <w:u w:val="single"/>
        </w:rPr>
        <w:t xml:space="preserve">                                      </w:t>
      </w:r>
    </w:p>
    <w:p w14:paraId="20C4CC8E">
      <w:pPr>
        <w:keepNext w:val="0"/>
        <w:keepLines w:val="0"/>
        <w:pageBreakBefore w:val="0"/>
        <w:widowControl w:val="0"/>
        <w:shd w:val="clear"/>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乙  方</w:t>
      </w:r>
      <w:r>
        <w:rPr>
          <w:rFonts w:hint="eastAsia" w:ascii="宋体" w:hAnsi="宋体" w:eastAsia="宋体" w:cs="宋体"/>
          <w:b/>
          <w:color w:val="auto"/>
          <w:sz w:val="21"/>
          <w:szCs w:val="21"/>
          <w:highlight w:val="none"/>
        </w:rPr>
        <w:t>（全称）：</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14:paraId="63DB2B2F">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根据《中华人民共和国政府采购法》及实施条例、《中华人民共和国民法典》及其他有关法律、法规，遵循平等、自愿、公平和诚信的原则，双方就下述项目范围与相关服务事项协商一致，订立本合同。</w:t>
      </w:r>
    </w:p>
    <w:p w14:paraId="07FBBF5F">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bookmarkStart w:id="1" w:name="_Toc3289"/>
      <w:bookmarkStart w:id="2" w:name="_Toc9604"/>
      <w:r>
        <w:rPr>
          <w:rFonts w:hint="eastAsia" w:ascii="宋体" w:hAnsi="宋体" w:eastAsia="宋体" w:cs="宋体"/>
          <w:b/>
          <w:color w:val="auto"/>
          <w:sz w:val="21"/>
          <w:szCs w:val="21"/>
          <w:highlight w:val="none"/>
        </w:rPr>
        <w:t>一</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项目概况</w:t>
      </w:r>
      <w:bookmarkEnd w:id="1"/>
      <w:bookmarkEnd w:id="2"/>
    </w:p>
    <w:p w14:paraId="5F05D361">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u w:val="single"/>
        </w:rPr>
        <w:t xml:space="preserve">                                        </w:t>
      </w:r>
    </w:p>
    <w:p w14:paraId="72257A86">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项目地点：</w:t>
      </w:r>
      <w:r>
        <w:rPr>
          <w:rFonts w:hint="eastAsia" w:ascii="宋体" w:hAnsi="宋体" w:eastAsia="宋体" w:cs="宋体"/>
          <w:color w:val="auto"/>
          <w:sz w:val="21"/>
          <w:szCs w:val="21"/>
          <w:highlight w:val="none"/>
          <w:u w:val="single"/>
        </w:rPr>
        <w:t xml:space="preserve">                                        </w:t>
      </w:r>
    </w:p>
    <w:p w14:paraId="1CD256D5">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u w:val="single"/>
        </w:rPr>
      </w:pPr>
      <w:bookmarkStart w:id="3" w:name="_Toc16118"/>
      <w:bookmarkStart w:id="4" w:name="_Toc12772"/>
      <w:r>
        <w:rPr>
          <w:rFonts w:hint="eastAsia" w:ascii="宋体" w:hAnsi="宋体" w:eastAsia="宋体" w:cs="宋体"/>
          <w:color w:val="auto"/>
          <w:sz w:val="21"/>
          <w:szCs w:val="21"/>
          <w:highlight w:val="none"/>
          <w:lang w:val="en-US" w:eastAsia="zh-CN"/>
        </w:rPr>
        <w:t>3、</w:t>
      </w:r>
      <w:r>
        <w:rPr>
          <w:rFonts w:hint="eastAsia" w:hAnsi="宋体" w:cs="宋体"/>
          <w:color w:val="auto"/>
          <w:sz w:val="21"/>
          <w:szCs w:val="21"/>
          <w:highlight w:val="none"/>
          <w:lang w:val="en-US" w:eastAsia="zh-CN"/>
        </w:rPr>
        <w:t>项目概况：</w:t>
      </w:r>
      <w:r>
        <w:rPr>
          <w:rFonts w:hint="eastAsia" w:ascii="宋体" w:hAnsi="宋体" w:eastAsia="宋体" w:cs="宋体"/>
          <w:color w:val="auto"/>
          <w:sz w:val="21"/>
          <w:szCs w:val="21"/>
          <w:highlight w:val="none"/>
          <w:u w:val="single"/>
        </w:rPr>
        <w:t xml:space="preserve">                                        </w:t>
      </w:r>
    </w:p>
    <w:p w14:paraId="74ACD447">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hAnsi="宋体" w:cs="宋体"/>
          <w:color w:val="auto"/>
          <w:sz w:val="21"/>
          <w:szCs w:val="21"/>
          <w:highlight w:val="none"/>
          <w:u w:val="none"/>
          <w:lang w:val="en-US" w:eastAsia="zh-CN"/>
        </w:rPr>
        <w:t>4、</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14:paraId="11597BDB">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组成本合同的文件</w:t>
      </w:r>
      <w:bookmarkEnd w:id="3"/>
      <w:bookmarkEnd w:id="4"/>
    </w:p>
    <w:p w14:paraId="3AA38AFA">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协议书；</w:t>
      </w:r>
    </w:p>
    <w:p w14:paraId="55BAFF7E">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中标通知书、投标文件、招标文件、澄清、招标补充文件；</w:t>
      </w:r>
    </w:p>
    <w:p w14:paraId="07CD117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相关服务建议书；</w:t>
      </w:r>
    </w:p>
    <w:p w14:paraId="7A131F7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bookmarkStart w:id="5" w:name="_Toc26662"/>
      <w:bookmarkStart w:id="6" w:name="_Toc1597"/>
      <w:r>
        <w:rPr>
          <w:rFonts w:hint="eastAsia" w:ascii="宋体" w:hAnsi="宋体" w:eastAsia="宋体" w:cs="宋体"/>
          <w:color w:val="auto"/>
          <w:sz w:val="21"/>
          <w:szCs w:val="21"/>
          <w:highlight w:val="none"/>
        </w:rPr>
        <w:t>本合同签订后，双方依法签订的补充协议也是本合同文件的组成部分。</w:t>
      </w:r>
    </w:p>
    <w:bookmarkEnd w:id="5"/>
    <w:bookmarkEnd w:id="6"/>
    <w:p w14:paraId="458F7957">
      <w:pPr>
        <w:pageBreakBefore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三、合同价款</w:t>
      </w:r>
    </w:p>
    <w:p w14:paraId="7D47329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合同形式：固定</w:t>
      </w:r>
      <w:r>
        <w:rPr>
          <w:rFonts w:hint="eastAsia" w:hAnsi="宋体" w:cs="宋体"/>
          <w:color w:val="auto"/>
          <w:sz w:val="21"/>
          <w:szCs w:val="21"/>
          <w:highlight w:val="none"/>
          <w:lang w:val="en-US" w:eastAsia="zh-CN"/>
        </w:rPr>
        <w:t>总价</w:t>
      </w:r>
      <w:r>
        <w:rPr>
          <w:rFonts w:hint="eastAsia" w:ascii="宋体" w:hAnsi="宋体" w:eastAsia="宋体" w:cs="宋体"/>
          <w:color w:val="auto"/>
          <w:sz w:val="21"/>
          <w:szCs w:val="21"/>
          <w:highlight w:val="none"/>
        </w:rPr>
        <w:t>合同</w:t>
      </w:r>
    </w:p>
    <w:p w14:paraId="15B639F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w:t>
      </w:r>
      <w:r>
        <w:rPr>
          <w:rFonts w:hint="eastAsia" w:hAnsi="宋体" w:cs="宋体"/>
          <w:color w:val="auto"/>
          <w:sz w:val="21"/>
          <w:szCs w:val="21"/>
          <w:highlight w:val="none"/>
          <w:lang w:val="en-US" w:eastAsia="zh-CN"/>
        </w:rPr>
        <w:t>总价</w:t>
      </w:r>
      <w:r>
        <w:rPr>
          <w:rFonts w:hint="eastAsia" w:ascii="宋体" w:hAnsi="宋体" w:eastAsia="宋体" w:cs="宋体"/>
          <w:color w:val="auto"/>
          <w:sz w:val="21"/>
          <w:szCs w:val="21"/>
          <w:highlight w:val="none"/>
        </w:rPr>
        <w:t>为完成本项目所要求内容且验收合格的所有费用，供应商应在投标报价表中标明完成本次招标所要求内容且验收合格的所有费用,</w:t>
      </w:r>
      <w:r>
        <w:rPr>
          <w:rFonts w:hint="eastAsia" w:hAnsi="宋体" w:cs="宋体"/>
          <w:color w:val="auto"/>
          <w:sz w:val="21"/>
          <w:szCs w:val="21"/>
          <w:highlight w:val="none"/>
          <w:lang w:eastAsia="zh-CN"/>
        </w:rPr>
        <w:t>不限于包括但不限于人工费、</w:t>
      </w:r>
      <w:r>
        <w:rPr>
          <w:rFonts w:hint="eastAsia" w:ascii="宋体" w:hAnsi="宋体" w:eastAsia="宋体" w:cs="宋体"/>
          <w:color w:val="auto"/>
          <w:sz w:val="21"/>
          <w:szCs w:val="21"/>
          <w:highlight w:val="none"/>
          <w:lang w:val="en-US" w:eastAsia="zh-CN"/>
        </w:rPr>
        <w:t>专业设备设施及辅助工具</w:t>
      </w:r>
      <w:r>
        <w:rPr>
          <w:rFonts w:hint="eastAsia" w:hAnsi="宋体" w:cs="宋体"/>
          <w:color w:val="auto"/>
          <w:sz w:val="21"/>
          <w:szCs w:val="21"/>
          <w:highlight w:val="none"/>
          <w:lang w:eastAsia="zh-CN"/>
        </w:rPr>
        <w:t>费、组织实施费、办公费、保险、招标代理服务费、利润、税金、风险、协调费用及完成工作准备阶段、实施阶段</w:t>
      </w:r>
      <w:r>
        <w:rPr>
          <w:rFonts w:hint="eastAsia" w:ascii="宋体" w:hAnsi="宋体" w:eastAsia="宋体" w:cs="宋体"/>
          <w:color w:val="auto"/>
          <w:sz w:val="21"/>
          <w:szCs w:val="21"/>
          <w:highlight w:val="none"/>
          <w:lang w:eastAsia="zh-CN"/>
        </w:rPr>
        <w:t>、交付阶段、验收阶段等其他一切相关费用</w:t>
      </w:r>
      <w:r>
        <w:rPr>
          <w:rFonts w:hint="eastAsia" w:ascii="宋体" w:hAnsi="宋体" w:eastAsia="宋体" w:cs="宋体"/>
          <w:color w:val="auto"/>
          <w:sz w:val="21"/>
          <w:szCs w:val="21"/>
          <w:highlight w:val="none"/>
        </w:rPr>
        <w:t>。</w:t>
      </w:r>
    </w:p>
    <w:p w14:paraId="28397C2D">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总价</w:t>
      </w:r>
      <w:r>
        <w:rPr>
          <w:rFonts w:hint="eastAsia" w:ascii="宋体" w:hAnsi="宋体" w:eastAsia="宋体" w:cs="宋体"/>
          <w:bCs/>
          <w:color w:val="auto"/>
          <w:sz w:val="21"/>
          <w:szCs w:val="21"/>
          <w:highlight w:val="none"/>
        </w:rPr>
        <w:t>（大写）：</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（小写）</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kern w:val="0"/>
          <w:sz w:val="21"/>
          <w:szCs w:val="21"/>
          <w:highlight w:val="none"/>
        </w:rPr>
        <w:t>¥</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元</w:t>
      </w:r>
      <w:r>
        <w:rPr>
          <w:rFonts w:hint="eastAsia" w:ascii="宋体" w:hAnsi="宋体" w:eastAsia="宋体" w:cs="宋体"/>
          <w:bCs/>
          <w:color w:val="auto"/>
          <w:sz w:val="21"/>
          <w:szCs w:val="21"/>
          <w:highlight w:val="none"/>
          <w:lang w:eastAsia="zh-CN"/>
        </w:rPr>
        <w:t>。</w:t>
      </w:r>
    </w:p>
    <w:p w14:paraId="5DD67E7C">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合同金额即中标价。合同价格为含税价，</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提供产品所发生的一切费用（包括增值税等相关税费）等都已包含于合同价款中。</w:t>
      </w:r>
    </w:p>
    <w:p w14:paraId="61726432">
      <w:pPr>
        <w:pStyle w:val="2"/>
        <w:pageBreakBefore w:val="0"/>
        <w:shd w:val="clear"/>
        <w:wordWrap/>
        <w:overflowPunct/>
        <w:topLinePunct w:val="0"/>
        <w:autoSpaceDE/>
        <w:autoSpaceDN/>
        <w:bidi w:val="0"/>
        <w:spacing w:after="0"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四、付款方式及付款依据</w:t>
      </w:r>
    </w:p>
    <w:p w14:paraId="2AC61937">
      <w:pPr>
        <w:pStyle w:val="2"/>
        <w:pageBreakBefore w:val="0"/>
        <w:shd w:val="clear"/>
        <w:wordWrap/>
        <w:overflowPunct/>
        <w:topLinePunct w:val="0"/>
        <w:autoSpaceDE/>
        <w:autoSpaceDN/>
        <w:bidi w:val="0"/>
        <w:spacing w:after="0"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付款方式：合同签订后，</w:t>
      </w:r>
      <w:r>
        <w:rPr>
          <w:rFonts w:hint="eastAsia" w:cs="宋体"/>
          <w:color w:val="auto"/>
          <w:kern w:val="0"/>
          <w:sz w:val="21"/>
          <w:szCs w:val="21"/>
          <w:highlight w:val="none"/>
          <w:lang w:val="en-US" w:eastAsia="zh-CN"/>
        </w:rPr>
        <w:t>预付</w:t>
      </w:r>
      <w:r>
        <w:rPr>
          <w:rFonts w:hint="eastAsia" w:ascii="宋体" w:hAnsi="宋体" w:eastAsia="宋体" w:cs="宋体"/>
          <w:color w:val="auto"/>
          <w:kern w:val="0"/>
          <w:sz w:val="21"/>
          <w:szCs w:val="21"/>
          <w:highlight w:val="none"/>
        </w:rPr>
        <w:t>合同总</w:t>
      </w:r>
      <w:r>
        <w:rPr>
          <w:rFonts w:hint="eastAsia" w:cs="宋体"/>
          <w:color w:val="auto"/>
          <w:kern w:val="0"/>
          <w:sz w:val="21"/>
          <w:szCs w:val="21"/>
          <w:highlight w:val="none"/>
          <w:lang w:val="en-US" w:eastAsia="zh-CN"/>
        </w:rPr>
        <w:t>价</w:t>
      </w:r>
      <w:r>
        <w:rPr>
          <w:rFonts w:hint="eastAsia" w:ascii="宋体" w:hAnsi="宋体" w:eastAsia="宋体" w:cs="宋体"/>
          <w:color w:val="auto"/>
          <w:kern w:val="0"/>
          <w:sz w:val="21"/>
          <w:szCs w:val="21"/>
          <w:highlight w:val="none"/>
        </w:rPr>
        <w:t>的</w:t>
      </w:r>
      <w:r>
        <w:rPr>
          <w:rFonts w:hint="eastAsia"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0.00%</w:t>
      </w:r>
      <w:r>
        <w:rPr>
          <w:rFonts w:hint="eastAsia" w:cs="宋体"/>
          <w:color w:val="auto"/>
          <w:kern w:val="0"/>
          <w:sz w:val="21"/>
          <w:szCs w:val="21"/>
          <w:highlight w:val="none"/>
          <w:lang w:eastAsia="zh-CN"/>
        </w:rPr>
        <w:t>；</w:t>
      </w:r>
      <w:r>
        <w:rPr>
          <w:rFonts w:hint="eastAsia" w:ascii="宋体" w:hAnsi="宋体" w:eastAsia="宋体" w:cs="宋体"/>
          <w:color w:val="auto"/>
          <w:kern w:val="0"/>
          <w:sz w:val="21"/>
          <w:szCs w:val="21"/>
          <w:highlight w:val="none"/>
        </w:rPr>
        <w:t>服务期满，完成所有项目内容，提交调查分析报告，并经采购人验收合格后，支付合同总</w:t>
      </w:r>
      <w:r>
        <w:rPr>
          <w:rFonts w:hint="eastAsia" w:cs="宋体"/>
          <w:color w:val="auto"/>
          <w:kern w:val="0"/>
          <w:sz w:val="21"/>
          <w:szCs w:val="21"/>
          <w:highlight w:val="none"/>
          <w:lang w:val="en-US" w:eastAsia="zh-CN"/>
        </w:rPr>
        <w:t>价</w:t>
      </w:r>
      <w:r>
        <w:rPr>
          <w:rFonts w:hint="eastAsia" w:ascii="宋体" w:hAnsi="宋体" w:eastAsia="宋体" w:cs="宋体"/>
          <w:color w:val="auto"/>
          <w:kern w:val="0"/>
          <w:sz w:val="21"/>
          <w:szCs w:val="21"/>
          <w:highlight w:val="none"/>
        </w:rPr>
        <w:t>的</w:t>
      </w:r>
      <w:r>
        <w:rPr>
          <w:rFonts w:hint="eastAsia"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0.00%。</w:t>
      </w:r>
    </w:p>
    <w:p w14:paraId="6D493F7C">
      <w:pPr>
        <w:pStyle w:val="2"/>
        <w:pageBreakBefore w:val="0"/>
        <w:shd w:val="clear"/>
        <w:wordWrap/>
        <w:overflowPunct/>
        <w:topLinePunct w:val="0"/>
        <w:autoSpaceDE/>
        <w:autoSpaceDN/>
        <w:bidi w:val="0"/>
        <w:spacing w:after="0"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付款依据：付款前乙方及时向甲方开具等额增值税普通发票。</w:t>
      </w:r>
    </w:p>
    <w:p w14:paraId="30039BAE">
      <w:pPr>
        <w:pStyle w:val="2"/>
        <w:pageBreakBefore w:val="0"/>
        <w:shd w:val="clear"/>
        <w:wordWrap/>
        <w:overflowPunct/>
        <w:topLinePunct w:val="0"/>
        <w:autoSpaceDE/>
        <w:autoSpaceDN/>
        <w:bidi w:val="0"/>
        <w:spacing w:after="0" w:line="360" w:lineRule="auto"/>
        <w:ind w:firstLine="0" w:firstLineChars="0"/>
        <w:textAlignment w:val="auto"/>
        <w:rPr>
          <w:rFonts w:hint="default"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rPr>
        <w:t>五、服务</w:t>
      </w:r>
      <w:r>
        <w:rPr>
          <w:rFonts w:hint="eastAsia" w:ascii="宋体" w:hAnsi="宋体" w:cs="宋体"/>
          <w:b/>
          <w:color w:val="auto"/>
          <w:kern w:val="0"/>
          <w:sz w:val="21"/>
          <w:szCs w:val="21"/>
          <w:highlight w:val="none"/>
          <w:lang w:val="en-US" w:eastAsia="zh-CN"/>
        </w:rPr>
        <w:t>质量：</w:t>
      </w:r>
      <w:r>
        <w:rPr>
          <w:rFonts w:hint="eastAsia" w:ascii="宋体" w:hAnsi="宋体" w:eastAsia="宋体" w:cs="宋体"/>
          <w:color w:val="auto"/>
          <w:kern w:val="0"/>
          <w:sz w:val="21"/>
          <w:szCs w:val="21"/>
          <w:highlight w:val="none"/>
          <w:lang w:val="en-US" w:eastAsia="zh-CN"/>
        </w:rPr>
        <w:t>合格</w:t>
      </w:r>
      <w:r>
        <w:rPr>
          <w:rFonts w:hint="eastAsia" w:ascii="宋体" w:hAnsi="宋体" w:cs="宋体"/>
          <w:color w:val="auto"/>
          <w:kern w:val="0"/>
          <w:sz w:val="21"/>
          <w:szCs w:val="21"/>
          <w:highlight w:val="none"/>
          <w:lang w:val="en-US" w:eastAsia="zh-CN"/>
        </w:rPr>
        <w:t>。</w:t>
      </w:r>
    </w:p>
    <w:p w14:paraId="4D505854">
      <w:pPr>
        <w:pStyle w:val="2"/>
        <w:pageBreakBefore w:val="0"/>
        <w:shd w:val="clear"/>
        <w:wordWrap/>
        <w:overflowPunct/>
        <w:topLinePunct w:val="0"/>
        <w:autoSpaceDE/>
        <w:autoSpaceDN/>
        <w:bidi w:val="0"/>
        <w:spacing w:after="0" w:line="360" w:lineRule="auto"/>
        <w:ind w:firstLine="0" w:firstLineChars="0"/>
        <w:textAlignment w:val="auto"/>
        <w:rPr>
          <w:rFonts w:hint="default"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rPr>
        <w:t>六、</w:t>
      </w:r>
      <w:r>
        <w:rPr>
          <w:rFonts w:hint="eastAsia" w:ascii="宋体" w:hAnsi="宋体" w:eastAsia="宋体" w:cs="宋体"/>
          <w:b/>
          <w:bCs w:val="0"/>
          <w:color w:val="auto"/>
          <w:kern w:val="0"/>
          <w:sz w:val="21"/>
          <w:szCs w:val="21"/>
          <w:highlight w:val="none"/>
          <w:lang w:val="en-US" w:eastAsia="zh-CN"/>
        </w:rPr>
        <w:t>服务内容及要求</w:t>
      </w:r>
    </w:p>
    <w:p w14:paraId="694F5394">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b w:val="0"/>
          <w:bCs w:val="0"/>
          <w:color w:val="auto"/>
          <w:sz w:val="21"/>
          <w:szCs w:val="21"/>
          <w:highlight w:val="none"/>
          <w:lang w:val="en-US" w:eastAsia="en-US"/>
        </w:rPr>
      </w:pPr>
      <w:r>
        <w:rPr>
          <w:rFonts w:hint="eastAsia" w:cs="宋体"/>
          <w:b w:val="0"/>
          <w:bCs w:val="0"/>
          <w:color w:val="auto"/>
          <w:sz w:val="21"/>
          <w:szCs w:val="21"/>
          <w:highlight w:val="none"/>
          <w:lang w:val="en-US" w:eastAsia="zh-CN"/>
        </w:rPr>
        <w:t>（一）</w:t>
      </w:r>
      <w:r>
        <w:rPr>
          <w:rFonts w:hint="eastAsia" w:ascii="宋体" w:hAnsi="宋体" w:eastAsia="宋体" w:cs="宋体"/>
          <w:b w:val="0"/>
          <w:bCs w:val="0"/>
          <w:color w:val="auto"/>
          <w:sz w:val="21"/>
          <w:szCs w:val="21"/>
          <w:highlight w:val="none"/>
          <w:lang w:val="en-US" w:eastAsia="en-US"/>
        </w:rPr>
        <w:t>调查对象</w:t>
      </w:r>
    </w:p>
    <w:p w14:paraId="4C5D36FA">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en-US"/>
        </w:rPr>
        <w:t>调查对象为在</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en-US"/>
        </w:rPr>
        <w:t>旅游的国内游客。</w:t>
      </w:r>
    </w:p>
    <w:p w14:paraId="174654C4">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en-US"/>
        </w:rPr>
        <w:t>国内游客是指离开惯常居住（生活）、工作（上学）环境（社区、村庄），出游时间超过6小时，但不足12个月，出行距离超过10公里，到国内其它地方观光游览、休闲度假、探亲访友、医疗康养、购物娱乐、学习交流、会议培训或开展经济、文化、体育、宗教等活动的中国（内地）居民。</w:t>
      </w:r>
    </w:p>
    <w:p w14:paraId="4303D5AF">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Hans"/>
        </w:rPr>
        <w:t>国内游客包括过夜游客和一日游游客两部分，但不包括因工作或学习在两地有规律往返的中国（内地）居民。</w:t>
      </w:r>
    </w:p>
    <w:p w14:paraId="49AEEA2D">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（二）调查方法及数据收集方式</w:t>
      </w:r>
    </w:p>
    <w:p w14:paraId="7D97B79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调查方法</w:t>
      </w:r>
    </w:p>
    <w:p w14:paraId="07A101E1">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Hans"/>
        </w:rPr>
        <w:t>采用抽样调查方式，以</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为独立调查区域开展。在A级旅游景区、</w:t>
      </w:r>
      <w:r>
        <w:rPr>
          <w:rFonts w:hint="eastAsia" w:ascii="宋体" w:hAnsi="宋体" w:eastAsia="宋体" w:cs="宋体"/>
          <w:color w:val="auto"/>
          <w:sz w:val="21"/>
          <w:szCs w:val="21"/>
          <w:highlight w:val="none"/>
          <w:lang w:val="en-US" w:eastAsia="zh-CN"/>
        </w:rPr>
        <w:t>红色旅游经典景区、</w:t>
      </w:r>
      <w:r>
        <w:rPr>
          <w:rFonts w:hint="eastAsia" w:ascii="宋体" w:hAnsi="宋体" w:eastAsia="宋体" w:cs="宋体"/>
          <w:color w:val="auto"/>
          <w:sz w:val="21"/>
          <w:szCs w:val="21"/>
          <w:highlight w:val="none"/>
          <w:lang w:val="en-US" w:eastAsia="zh-Hans"/>
        </w:rPr>
        <w:t>旅游休闲街区、文化场馆</w:t>
      </w:r>
      <w:r>
        <w:rPr>
          <w:rFonts w:hint="eastAsia" w:ascii="宋体" w:hAnsi="宋体" w:eastAsia="宋体" w:cs="宋体"/>
          <w:color w:val="auto"/>
          <w:sz w:val="21"/>
          <w:szCs w:val="21"/>
          <w:highlight w:val="none"/>
          <w:lang w:val="en-US" w:eastAsia="zh-CN"/>
        </w:rPr>
        <w:t>、体育场馆</w:t>
      </w:r>
      <w:r>
        <w:rPr>
          <w:rFonts w:hint="eastAsia" w:ascii="宋体" w:hAnsi="宋体" w:eastAsia="宋体" w:cs="宋体"/>
          <w:color w:val="auto"/>
          <w:sz w:val="21"/>
          <w:szCs w:val="21"/>
          <w:highlight w:val="none"/>
          <w:lang w:val="en-US" w:eastAsia="zh-Hans"/>
        </w:rPr>
        <w:t>等区域、经营性旅游住宿单位等场所确定调查取样点，开展国内游客抽样调查。</w:t>
      </w:r>
    </w:p>
    <w:p w14:paraId="4C70E236">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Hans"/>
        </w:rPr>
        <w:t>数据收集方式</w:t>
      </w:r>
    </w:p>
    <w:p w14:paraId="73EC381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Hans"/>
        </w:rPr>
        <w:t>抽样调查采取现场访问方式开展，对</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国内游客采用等距随机拦截方式随机进行问卷访谈，即由调查员和督导员现场</w:t>
      </w:r>
      <w:r>
        <w:rPr>
          <w:rFonts w:hint="eastAsia" w:ascii="宋体" w:hAnsi="宋体" w:eastAsia="宋体" w:cs="宋体"/>
          <w:color w:val="auto"/>
          <w:sz w:val="21"/>
          <w:szCs w:val="21"/>
          <w:highlight w:val="none"/>
          <w:lang w:val="en-US" w:eastAsia="zh-CN"/>
        </w:rPr>
        <w:t>访问国内游客，</w:t>
      </w:r>
      <w:r>
        <w:rPr>
          <w:rFonts w:hint="eastAsia" w:ascii="宋体" w:hAnsi="宋体" w:eastAsia="宋体" w:cs="宋体"/>
          <w:color w:val="auto"/>
          <w:sz w:val="21"/>
          <w:szCs w:val="21"/>
          <w:highlight w:val="none"/>
          <w:lang w:val="en-US" w:eastAsia="zh-Hans"/>
        </w:rPr>
        <w:t>当场请国内游客填写并收回的方式进行，每月组织一次，且应充分考虑季节性因素，调查时间安排应兼顾寒暑假、法定节假日、工作日等时段。</w:t>
      </w:r>
    </w:p>
    <w:p w14:paraId="017DEEDC">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（三）</w:t>
      </w:r>
      <w:r>
        <w:rPr>
          <w:rFonts w:hint="eastAsia" w:ascii="宋体" w:hAnsi="宋体" w:eastAsia="宋体" w:cs="宋体"/>
          <w:color w:val="auto"/>
          <w:sz w:val="21"/>
          <w:szCs w:val="21"/>
          <w:highlight w:val="none"/>
          <w:lang w:val="en-US" w:eastAsia="zh-CN"/>
        </w:rPr>
        <w:t>调查内容</w:t>
      </w:r>
    </w:p>
    <w:p w14:paraId="4270BB32">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CN"/>
        </w:rPr>
        <w:t>国内</w:t>
      </w:r>
      <w:r>
        <w:rPr>
          <w:rFonts w:hint="eastAsia" w:ascii="宋体" w:hAnsi="宋体" w:eastAsia="宋体" w:cs="宋体"/>
          <w:color w:val="auto"/>
          <w:sz w:val="21"/>
          <w:szCs w:val="21"/>
          <w:highlight w:val="none"/>
          <w:lang w:val="en-US" w:eastAsia="zh-Hans"/>
        </w:rPr>
        <w:t>游客调查资料内容主要包括：</w:t>
      </w:r>
    </w:p>
    <w:p w14:paraId="01A96770">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国内游客的构成：包括游客</w:t>
      </w:r>
      <w:r>
        <w:rPr>
          <w:rFonts w:hint="eastAsia" w:ascii="宋体" w:hAnsi="宋体" w:eastAsia="宋体" w:cs="宋体"/>
          <w:color w:val="auto"/>
          <w:sz w:val="21"/>
          <w:szCs w:val="21"/>
          <w:highlight w:val="none"/>
          <w:lang w:val="en-US" w:eastAsia="zh-CN"/>
        </w:rPr>
        <w:t>常住地</w:t>
      </w:r>
      <w:r>
        <w:rPr>
          <w:rFonts w:hint="eastAsia" w:ascii="宋体" w:hAnsi="宋体" w:eastAsia="宋体" w:cs="宋体"/>
          <w:color w:val="auto"/>
          <w:sz w:val="21"/>
          <w:szCs w:val="21"/>
          <w:highlight w:val="none"/>
          <w:lang w:val="en-US" w:eastAsia="zh-Hans"/>
        </w:rPr>
        <w:t>、性别、年龄等；</w:t>
      </w:r>
    </w:p>
    <w:p w14:paraId="6185462F">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Hans"/>
        </w:rPr>
        <w:t>国内游客来</w:t>
      </w:r>
      <w:r>
        <w:rPr>
          <w:rFonts w:hint="eastAsia" w:ascii="宋体" w:hAnsi="宋体" w:eastAsia="宋体" w:cs="宋体"/>
          <w:color w:val="auto"/>
          <w:sz w:val="21"/>
          <w:szCs w:val="21"/>
          <w:highlight w:val="none"/>
          <w:lang w:val="en-US" w:eastAsia="zh-CN"/>
        </w:rPr>
        <w:t>浐灞国际港的</w:t>
      </w:r>
      <w:r>
        <w:rPr>
          <w:rFonts w:hint="eastAsia" w:ascii="宋体" w:hAnsi="宋体" w:eastAsia="宋体" w:cs="宋体"/>
          <w:color w:val="auto"/>
          <w:sz w:val="21"/>
          <w:szCs w:val="21"/>
          <w:highlight w:val="none"/>
          <w:lang w:val="en-US" w:eastAsia="zh-Hans"/>
        </w:rPr>
        <w:t>旅游目的；</w:t>
      </w:r>
    </w:p>
    <w:p w14:paraId="33C5F148">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Hans"/>
        </w:rPr>
        <w:t>国内游客来</w:t>
      </w:r>
      <w:r>
        <w:rPr>
          <w:rFonts w:hint="eastAsia" w:ascii="宋体" w:hAnsi="宋体" w:eastAsia="宋体" w:cs="宋体"/>
          <w:color w:val="auto"/>
          <w:sz w:val="21"/>
          <w:szCs w:val="21"/>
          <w:highlight w:val="none"/>
          <w:lang w:val="en-US" w:eastAsia="zh-CN"/>
        </w:rPr>
        <w:t>浐灞国际港的游览</w:t>
      </w:r>
      <w:r>
        <w:rPr>
          <w:rFonts w:hint="eastAsia" w:ascii="宋体" w:hAnsi="宋体" w:eastAsia="宋体" w:cs="宋体"/>
          <w:color w:val="auto"/>
          <w:sz w:val="21"/>
          <w:szCs w:val="21"/>
          <w:highlight w:val="none"/>
          <w:lang w:val="en-US" w:eastAsia="zh-Hans"/>
        </w:rPr>
        <w:t>方式；</w:t>
      </w:r>
    </w:p>
    <w:p w14:paraId="6B8590D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Hans"/>
        </w:rPr>
        <w:t>来</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的</w:t>
      </w:r>
      <w:r>
        <w:rPr>
          <w:rFonts w:hint="eastAsia" w:ascii="宋体" w:hAnsi="宋体" w:eastAsia="宋体" w:cs="宋体"/>
          <w:color w:val="auto"/>
          <w:sz w:val="21"/>
          <w:szCs w:val="21"/>
          <w:highlight w:val="none"/>
          <w:lang w:val="en-US" w:eastAsia="zh-CN"/>
        </w:rPr>
        <w:t>出行</w:t>
      </w:r>
      <w:r>
        <w:rPr>
          <w:rFonts w:hint="eastAsia" w:ascii="宋体" w:hAnsi="宋体" w:eastAsia="宋体" w:cs="宋体"/>
          <w:color w:val="auto"/>
          <w:sz w:val="21"/>
          <w:szCs w:val="21"/>
          <w:highlight w:val="none"/>
          <w:lang w:val="en-US" w:eastAsia="zh-Hans"/>
        </w:rPr>
        <w:t>方式；</w:t>
      </w:r>
    </w:p>
    <w:p w14:paraId="278FECF8">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Hans"/>
        </w:rPr>
        <w:t>国内游客在</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住宿设施的选择及停留时间；</w:t>
      </w:r>
    </w:p>
    <w:p w14:paraId="3C98F298">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Hans"/>
        </w:rPr>
        <w:t>国内游客在</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旅游</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en-US" w:eastAsia="zh-Hans"/>
        </w:rPr>
        <w:t>花费及构成；</w:t>
      </w:r>
    </w:p>
    <w:p w14:paraId="6B74688B">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Hans"/>
        </w:rPr>
        <w:t>游客在</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的重游率；</w:t>
      </w:r>
    </w:p>
    <w:p w14:paraId="295E0925">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Hans"/>
        </w:rPr>
        <w:t>游客游览景点数及旅游流向；</w:t>
      </w:r>
    </w:p>
    <w:p w14:paraId="37515E0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Hans"/>
        </w:rPr>
        <w:t>国内游客对</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旅游服务及质量的评价；</w:t>
      </w:r>
    </w:p>
    <w:p w14:paraId="39D67107">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Hans"/>
        </w:rPr>
        <w:t>了解</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旅游信息的渠道；</w:t>
      </w:r>
    </w:p>
    <w:p w14:paraId="421FF1F1">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11.</w:t>
      </w:r>
      <w:r>
        <w:rPr>
          <w:rFonts w:hint="eastAsia" w:ascii="宋体" w:hAnsi="宋体" w:eastAsia="宋体" w:cs="宋体"/>
          <w:color w:val="auto"/>
          <w:sz w:val="21"/>
          <w:szCs w:val="21"/>
          <w:highlight w:val="none"/>
          <w:lang w:val="en-US" w:eastAsia="zh-Hans"/>
        </w:rPr>
        <w:t>对</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旅游资源的偏好；</w:t>
      </w:r>
    </w:p>
    <w:p w14:paraId="6C17BFA7">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Hans"/>
        </w:rPr>
        <w:t>对</w:t>
      </w:r>
      <w:r>
        <w:rPr>
          <w:rFonts w:hint="eastAsia" w:ascii="宋体" w:hAnsi="宋体" w:eastAsia="宋体" w:cs="宋体"/>
          <w:color w:val="auto"/>
          <w:sz w:val="21"/>
          <w:szCs w:val="21"/>
          <w:highlight w:val="none"/>
          <w:lang w:val="en-US" w:eastAsia="zh-CN"/>
        </w:rPr>
        <w:t>浐灞国际港</w:t>
      </w:r>
      <w:r>
        <w:rPr>
          <w:rFonts w:hint="eastAsia" w:ascii="宋体" w:hAnsi="宋体" w:eastAsia="宋体" w:cs="宋体"/>
          <w:color w:val="auto"/>
          <w:sz w:val="21"/>
          <w:szCs w:val="21"/>
          <w:highlight w:val="none"/>
          <w:lang w:val="en-US" w:eastAsia="zh-Hans"/>
        </w:rPr>
        <w:t>旅游业的建议和意见；</w:t>
      </w:r>
    </w:p>
    <w:p w14:paraId="456CB43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cs="宋体"/>
          <w:color w:val="auto"/>
          <w:sz w:val="21"/>
          <w:szCs w:val="21"/>
          <w:highlight w:val="none"/>
          <w:lang w:val="en-US" w:eastAsia="zh-CN"/>
        </w:rPr>
        <w:t>13.</w:t>
      </w:r>
      <w:r>
        <w:rPr>
          <w:rFonts w:hint="eastAsia" w:ascii="宋体" w:hAnsi="宋体" w:eastAsia="宋体" w:cs="宋体"/>
          <w:color w:val="auto"/>
          <w:sz w:val="21"/>
          <w:szCs w:val="21"/>
          <w:highlight w:val="none"/>
          <w:lang w:val="en-US" w:eastAsia="zh-Hans"/>
        </w:rPr>
        <w:t>有助于西安浐灞国际港旅游业发展方针政策的其他事项。</w:t>
      </w:r>
    </w:p>
    <w:p w14:paraId="04C69489">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（四）</w:t>
      </w:r>
      <w:r>
        <w:rPr>
          <w:rFonts w:hint="eastAsia" w:ascii="宋体" w:hAnsi="宋体" w:eastAsia="宋体" w:cs="宋体"/>
          <w:color w:val="auto"/>
          <w:sz w:val="21"/>
          <w:szCs w:val="21"/>
          <w:highlight w:val="none"/>
          <w:lang w:val="en-US" w:eastAsia="zh-CN"/>
        </w:rPr>
        <w:t>样本量要求</w:t>
      </w:r>
    </w:p>
    <w:p w14:paraId="1502F445">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CN"/>
        </w:rPr>
        <w:t>有效</w:t>
      </w:r>
      <w:r>
        <w:rPr>
          <w:rFonts w:hint="eastAsia" w:ascii="宋体" w:hAnsi="宋体" w:eastAsia="宋体" w:cs="宋体"/>
          <w:color w:val="auto"/>
          <w:sz w:val="21"/>
          <w:szCs w:val="21"/>
          <w:highlight w:val="none"/>
          <w:lang w:val="en-US" w:eastAsia="zh-Hans"/>
        </w:rPr>
        <w:t>总样本量</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Hans"/>
        </w:rPr>
        <w:t>份。</w:t>
      </w:r>
    </w:p>
    <w:p w14:paraId="52EEF2DA">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（五）</w:t>
      </w:r>
      <w:r>
        <w:rPr>
          <w:rFonts w:hint="eastAsia" w:ascii="宋体" w:hAnsi="宋体" w:eastAsia="宋体" w:cs="宋体"/>
          <w:color w:val="auto"/>
          <w:sz w:val="21"/>
          <w:szCs w:val="21"/>
          <w:highlight w:val="none"/>
          <w:lang w:val="en-US" w:eastAsia="zh-CN"/>
        </w:rPr>
        <w:t>报告要求</w:t>
      </w:r>
    </w:p>
    <w:p w14:paraId="106ED6FC">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次调查所产出的报告内容主要由西安浐灞国际港游客总量研究、西安浐灞国际港游客旅游消费水平及消费结构研究、游客来源及构成研究、对西安浐灞国际港旅游行业服务满意度的评价研究及其他方面等组成。月度提供主要指标测算，季度、年度、节假日提供2份纸质版和一份电子版报告。报告包含且不限于以下内容：</w:t>
      </w:r>
    </w:p>
    <w:p w14:paraId="0EE968CA">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西安浐灞国际港季度、年度、节假日游客总量 </w:t>
      </w:r>
    </w:p>
    <w:p w14:paraId="2F699FA6">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国内游客总人次包括：一日游游客总人次和过夜游客总人次</w:t>
      </w:r>
    </w:p>
    <w:p w14:paraId="6AFC3357">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西安浐灞国际港季度、年度、节假日游客旅游消费水平及消费结构</w:t>
      </w:r>
    </w:p>
    <w:p w14:paraId="2C97310B">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国内游客在西安浐灞国际港的人均旅游消费支出及消费结构，包括：一日游游客的人均旅游消费支出和过夜游客人均旅游消费支出；一日游游客基本情况及过夜游客在西安浐灞国际港的停留时间及构成。</w:t>
      </w:r>
    </w:p>
    <w:p w14:paraId="2CC2C6A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西安浐灞国际港季度、年度、节假日游客来源及游客构成</w:t>
      </w:r>
    </w:p>
    <w:p w14:paraId="2E9559F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游客来源，包括外省市游客来源及分布和省内游客来源及分布；游客构成，包括住宿单位游客构成和旅游吸引物游客构成，主要包含游客基本结构（年龄、性别、城镇/农村等类型）、游客旅游方式以及旅游目的、游客在西安浐灞国际港游览景点数等。</w:t>
      </w:r>
    </w:p>
    <w:p w14:paraId="138EC4A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西安浐灞国际港季度、年度、节假日游客对西安浐灞国际港旅游行业服务满意度的评价</w:t>
      </w:r>
    </w:p>
    <w:p w14:paraId="5DAA4C81">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行业服务综合评价得分，交通、住宿、餐饮、购物、游览、娱乐等主要旅游服务内容的评价得分。</w:t>
      </w:r>
    </w:p>
    <w:p w14:paraId="48CF0419">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（六）</w:t>
      </w:r>
      <w:r>
        <w:rPr>
          <w:rFonts w:hint="eastAsia" w:ascii="宋体" w:hAnsi="宋体" w:eastAsia="宋体" w:cs="宋体"/>
          <w:color w:val="auto"/>
          <w:sz w:val="21"/>
          <w:szCs w:val="21"/>
          <w:highlight w:val="none"/>
          <w:lang w:val="en-US" w:eastAsia="zh-CN"/>
        </w:rPr>
        <w:t>其他内容分析</w:t>
      </w:r>
    </w:p>
    <w:p w14:paraId="50D8DC06">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七、技术要求</w:t>
      </w:r>
    </w:p>
    <w:p w14:paraId="1346B9D4">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供应商应提供满足抽样调查所需的能覆盖全区调查点的抽样框，以保证样本的随机性和代表性。供应商有自主研发的调研系统，可实现空间定位、录音等多种方式的远程监控，并提供调研系统界面。</w:t>
      </w:r>
    </w:p>
    <w:p w14:paraId="5FD10B2C">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八、服务要求</w:t>
      </w:r>
    </w:p>
    <w:p w14:paraId="19F5F9EF">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（一）</w:t>
      </w:r>
      <w:r>
        <w:rPr>
          <w:rFonts w:hint="eastAsia" w:ascii="宋体" w:hAnsi="宋体" w:eastAsia="宋体" w:cs="宋体"/>
          <w:color w:val="auto"/>
          <w:sz w:val="21"/>
          <w:szCs w:val="21"/>
          <w:highlight w:val="none"/>
          <w:lang w:val="en-US" w:eastAsia="zh-CN"/>
        </w:rPr>
        <w:t>供应商提供针对本项目拟投入的工作人员分配合理，责任分工明确。</w:t>
      </w:r>
    </w:p>
    <w:p w14:paraId="3C440726">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（二）</w:t>
      </w:r>
      <w:r>
        <w:rPr>
          <w:rFonts w:hint="eastAsia" w:ascii="宋体" w:hAnsi="宋体" w:eastAsia="宋体" w:cs="宋体"/>
          <w:color w:val="auto"/>
          <w:sz w:val="21"/>
          <w:szCs w:val="21"/>
          <w:highlight w:val="none"/>
          <w:lang w:val="en-US" w:eastAsia="zh-CN"/>
        </w:rPr>
        <w:t>针对本项目的主要负责人和项目组成人员有丰富的旅游行业经验。</w:t>
      </w:r>
    </w:p>
    <w:p w14:paraId="444B308F">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（三）</w:t>
      </w:r>
      <w:r>
        <w:rPr>
          <w:rFonts w:hint="eastAsia" w:ascii="宋体" w:hAnsi="宋体" w:eastAsia="宋体" w:cs="宋体"/>
          <w:color w:val="auto"/>
          <w:sz w:val="21"/>
          <w:szCs w:val="21"/>
          <w:highlight w:val="none"/>
          <w:lang w:val="en-US" w:eastAsia="zh-CN"/>
        </w:rPr>
        <w:t>拟派本项目项目团队人员具有经济类或统计类中级或以上职称。</w:t>
      </w:r>
    </w:p>
    <w:p w14:paraId="265CF3D8">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（四）</w:t>
      </w:r>
      <w:r>
        <w:rPr>
          <w:rFonts w:hint="eastAsia" w:ascii="宋体" w:hAnsi="宋体" w:eastAsia="宋体" w:cs="宋体"/>
          <w:color w:val="auto"/>
          <w:sz w:val="21"/>
          <w:szCs w:val="21"/>
          <w:highlight w:val="none"/>
          <w:lang w:val="en-US" w:eastAsia="zh-CN"/>
        </w:rPr>
        <w:t>提供调查需要的专业设备设施及辅助工具。</w:t>
      </w:r>
    </w:p>
    <w:p w14:paraId="62725C90">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lang w:val="en-US" w:eastAsia="zh-Hans"/>
        </w:rPr>
        <w:t>其他</w:t>
      </w:r>
    </w:p>
    <w:p w14:paraId="27B0B0B7">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1.根据需求，安排</w:t>
      </w:r>
      <w:r>
        <w:rPr>
          <w:rFonts w:hint="eastAsia" w:ascii="宋体" w:hAnsi="宋体" w:eastAsia="宋体" w:cs="宋体"/>
          <w:color w:val="auto"/>
          <w:sz w:val="21"/>
          <w:szCs w:val="21"/>
          <w:highlight w:val="none"/>
          <w:u w:val="single"/>
          <w:lang w:val="en-US" w:eastAsia="zh-CN"/>
        </w:rPr>
        <w:t xml:space="preserve">  </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名</w:t>
      </w:r>
      <w:r>
        <w:rPr>
          <w:rFonts w:hint="eastAsia" w:ascii="宋体" w:hAnsi="宋体" w:eastAsia="宋体" w:cs="宋体"/>
          <w:color w:val="auto"/>
          <w:sz w:val="21"/>
          <w:szCs w:val="21"/>
          <w:highlight w:val="none"/>
          <w:lang w:val="en-US" w:eastAsia="zh-CN"/>
        </w:rPr>
        <w:t>专业人员，配合</w:t>
      </w:r>
      <w:r>
        <w:rPr>
          <w:rFonts w:hint="eastAsia" w:cs="宋体"/>
          <w:color w:val="auto"/>
          <w:sz w:val="21"/>
          <w:szCs w:val="21"/>
          <w:highlight w:val="none"/>
          <w:lang w:val="en-US" w:eastAsia="zh-CN"/>
        </w:rPr>
        <w:t>采购人进行相关工作</w:t>
      </w:r>
      <w:r>
        <w:rPr>
          <w:rFonts w:hint="eastAsia" w:ascii="宋体" w:hAnsi="宋体" w:eastAsia="宋体" w:cs="宋体"/>
          <w:color w:val="auto"/>
          <w:sz w:val="21"/>
          <w:szCs w:val="21"/>
          <w:highlight w:val="none"/>
          <w:lang w:val="en-US" w:eastAsia="zh-CN"/>
        </w:rPr>
        <w:t>。</w:t>
      </w:r>
    </w:p>
    <w:p w14:paraId="4203626E">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2.配合</w:t>
      </w:r>
      <w:r>
        <w:rPr>
          <w:rFonts w:hint="eastAsia" w:cs="宋体"/>
          <w:color w:val="auto"/>
          <w:sz w:val="21"/>
          <w:szCs w:val="21"/>
          <w:highlight w:val="none"/>
          <w:lang w:val="en-US" w:eastAsia="zh-CN"/>
        </w:rPr>
        <w:t>采购人</w:t>
      </w:r>
      <w:r>
        <w:rPr>
          <w:rFonts w:hint="eastAsia" w:ascii="宋体" w:hAnsi="宋体" w:eastAsia="宋体" w:cs="宋体"/>
          <w:color w:val="auto"/>
          <w:sz w:val="21"/>
          <w:szCs w:val="21"/>
          <w:highlight w:val="none"/>
          <w:lang w:val="en-US" w:eastAsia="zh-CN"/>
        </w:rPr>
        <w:t>进行与本项目调研相关的汇报审核，并按照</w:t>
      </w:r>
      <w:r>
        <w:rPr>
          <w:rFonts w:hint="eastAsia" w:cs="宋体"/>
          <w:color w:val="auto"/>
          <w:sz w:val="21"/>
          <w:szCs w:val="21"/>
          <w:highlight w:val="none"/>
          <w:lang w:val="en-US" w:eastAsia="zh-CN"/>
        </w:rPr>
        <w:t>采购人</w:t>
      </w:r>
      <w:r>
        <w:rPr>
          <w:rFonts w:hint="eastAsia" w:ascii="宋体" w:hAnsi="宋体" w:eastAsia="宋体" w:cs="宋体"/>
          <w:color w:val="auto"/>
          <w:sz w:val="21"/>
          <w:szCs w:val="21"/>
          <w:highlight w:val="none"/>
          <w:lang w:val="en-US" w:eastAsia="zh-CN"/>
        </w:rPr>
        <w:t>要求制作、整理相关文件及材料。</w:t>
      </w:r>
    </w:p>
    <w:p w14:paraId="0173932F">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3.演唱会专项总结报告</w:t>
      </w:r>
      <w:r>
        <w:rPr>
          <w:rFonts w:hint="eastAsia" w:ascii="宋体" w:hAnsi="宋体" w:eastAsia="宋体" w:cs="宋体"/>
          <w:color w:val="auto"/>
          <w:sz w:val="21"/>
          <w:szCs w:val="21"/>
          <w:highlight w:val="none"/>
          <w:u w:val="single"/>
          <w:lang w:val="en-US" w:eastAsia="zh-CN"/>
        </w:rPr>
        <w:t xml:space="preserve"> </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w:t>
      </w:r>
    </w:p>
    <w:p w14:paraId="2C2D3E06">
      <w:pPr>
        <w:pStyle w:val="2"/>
        <w:pageBreakBefore w:val="0"/>
        <w:shd w:val="clear"/>
        <w:wordWrap/>
        <w:overflowPunct/>
        <w:topLinePunct w:val="0"/>
        <w:autoSpaceDE/>
        <w:autoSpaceDN/>
        <w:bidi w:val="0"/>
        <w:spacing w:after="0" w:line="360" w:lineRule="auto"/>
        <w:ind w:firstLine="0" w:firstLine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九、</w:t>
      </w:r>
      <w:r>
        <w:rPr>
          <w:rFonts w:hint="eastAsia" w:ascii="宋体" w:hAnsi="宋体" w:eastAsia="宋体" w:cs="宋体"/>
          <w:b/>
          <w:color w:val="auto"/>
          <w:kern w:val="0"/>
          <w:sz w:val="21"/>
          <w:szCs w:val="21"/>
          <w:highlight w:val="none"/>
        </w:rPr>
        <w:t>甲方的权利与义务</w:t>
      </w:r>
    </w:p>
    <w:p w14:paraId="79134539">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eastAsia="zh-CN"/>
        </w:rPr>
        <w:t>、甲方有权对合同规定范围内乙方的服务行为进行监督和检查，拥有监管权。甲方认为不合理的部分有权下达整改通知书，并要求乙方限期整改</w:t>
      </w:r>
      <w:r>
        <w:rPr>
          <w:rFonts w:hint="eastAsia" w:ascii="宋体" w:hAnsi="宋体" w:eastAsia="宋体" w:cs="宋体"/>
          <w:b w:val="0"/>
          <w:bCs/>
          <w:color w:val="auto"/>
          <w:sz w:val="21"/>
          <w:szCs w:val="21"/>
          <w:highlight w:val="none"/>
        </w:rPr>
        <w:t>。</w:t>
      </w:r>
    </w:p>
    <w:p w14:paraId="7FD3920F">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甲方有权定期核实乙方的工作，监督检查工作质量。</w:t>
      </w:r>
    </w:p>
    <w:p w14:paraId="4A565028">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按本合同规定的内容，在规定的时间内向乙方提交基础资料及文件，并对其完整性、正确性、及时性负责。</w:t>
      </w:r>
    </w:p>
    <w:p w14:paraId="0F9FF406">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需负责与相关部门的对接工作；</w:t>
      </w:r>
    </w:p>
    <w:p w14:paraId="0E07021F">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甲方有权确定</w:t>
      </w:r>
      <w:r>
        <w:rPr>
          <w:rFonts w:hint="eastAsia" w:hAnsi="宋体" w:cs="宋体"/>
          <w:b w:val="0"/>
          <w:bCs/>
          <w:color w:val="auto"/>
          <w:sz w:val="21"/>
          <w:szCs w:val="21"/>
          <w:highlight w:val="none"/>
          <w:lang w:val="en-US" w:eastAsia="zh-CN"/>
        </w:rPr>
        <w:t>工作</w:t>
      </w:r>
      <w:r>
        <w:rPr>
          <w:rFonts w:hint="eastAsia" w:ascii="宋体" w:hAnsi="宋体" w:eastAsia="宋体" w:cs="宋体"/>
          <w:b w:val="0"/>
          <w:bCs/>
          <w:color w:val="auto"/>
          <w:sz w:val="21"/>
          <w:szCs w:val="21"/>
          <w:highlight w:val="none"/>
        </w:rPr>
        <w:t>人数配置。乙方须按照甲方核定人数及标准开展相关工作。</w:t>
      </w:r>
    </w:p>
    <w:p w14:paraId="41F4E12B">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按期支付服务费用给乙方。</w:t>
      </w:r>
    </w:p>
    <w:p w14:paraId="680575C4">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乙方的权利与义务</w:t>
      </w:r>
    </w:p>
    <w:p w14:paraId="767DA57A">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1、乙方应按国家相应技术规范、标准、规程及合同约定的各项要求，进行相关工作，按合同规定的进度要求提交质量合格的成果文件，并对其负责。</w:t>
      </w:r>
    </w:p>
    <w:p w14:paraId="2C7EB7E4">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2、乙方按本合同规定的内容、进度向甲方提交成果文件，并根据审查结论对不超出原定范围的内容做必要调整补充。</w:t>
      </w:r>
    </w:p>
    <w:p w14:paraId="0C1AB49F">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3、乙方应做好质量与技术管理工作，加强全过程的质量控制，保证项目内容的合理性。</w:t>
      </w:r>
    </w:p>
    <w:p w14:paraId="67C7405B">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4、对甲方的各种技术资料做好保密工作，未经甲方许可不得向任何单位和个人泄露。</w:t>
      </w:r>
    </w:p>
    <w:p w14:paraId="6C29AD1A">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eastAsia="zh-CN"/>
        </w:rPr>
        <w:t>按照合同规定的期限完成工作任务向甲方提交成果资料。</w:t>
      </w:r>
    </w:p>
    <w:p w14:paraId="2315D9F7">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十一</w:t>
      </w:r>
      <w:r>
        <w:rPr>
          <w:rFonts w:hint="eastAsia" w:ascii="宋体" w:hAnsi="宋体" w:eastAsia="宋体" w:cs="宋体"/>
          <w:b/>
          <w:color w:val="auto"/>
          <w:sz w:val="21"/>
          <w:szCs w:val="21"/>
          <w:highlight w:val="none"/>
        </w:rPr>
        <w:t>、验收</w:t>
      </w:r>
    </w:p>
    <w:p w14:paraId="53B44242">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招标文件、投标文件、澄清表（函）；</w:t>
      </w:r>
    </w:p>
    <w:p w14:paraId="535BE808">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本合同及附件文本；</w:t>
      </w:r>
    </w:p>
    <w:p w14:paraId="4C509E4A">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国家相应的标准、规范。</w:t>
      </w:r>
    </w:p>
    <w:p w14:paraId="3477B459">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十二</w:t>
      </w:r>
      <w:r>
        <w:rPr>
          <w:rFonts w:hint="eastAsia" w:ascii="宋体" w:hAnsi="宋体" w:eastAsia="宋体" w:cs="宋体"/>
          <w:b/>
          <w:bCs/>
          <w:color w:val="auto"/>
          <w:sz w:val="21"/>
          <w:szCs w:val="21"/>
          <w:highlight w:val="none"/>
          <w:lang w:eastAsia="zh-CN"/>
        </w:rPr>
        <w:t>、违约责任</w:t>
      </w:r>
    </w:p>
    <w:p w14:paraId="6047BAF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Cs/>
          <w:color w:val="auto"/>
          <w:sz w:val="21"/>
          <w:szCs w:val="21"/>
          <w:highlight w:val="none"/>
        </w:rPr>
        <w:t>1</w:t>
      </w:r>
      <w:r>
        <w:rPr>
          <w:rFonts w:hint="eastAsia" w:hAnsi="宋体" w:cs="宋体"/>
          <w:bCs/>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按《中华人民共和国政府采购法》、《中华人民共和国民法典》中的相关条款执行。</w:t>
      </w:r>
    </w:p>
    <w:p w14:paraId="25444DC6">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hAnsi="宋体" w:cs="宋体"/>
          <w:bCs/>
          <w:color w:val="auto"/>
          <w:sz w:val="21"/>
          <w:szCs w:val="21"/>
          <w:highlight w:val="none"/>
          <w:lang w:val="en-US" w:eastAsia="zh-CN"/>
        </w:rPr>
        <w:t>2</w:t>
      </w:r>
      <w:r>
        <w:rPr>
          <w:rFonts w:hint="eastAsia" w:hAnsi="宋体" w:cs="宋体"/>
          <w:bCs/>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未按合同要求提供服务或服务质量不能满足本次项目要求，甲方有权终止合同和对乙方违约行为进</w:t>
      </w:r>
      <w:r>
        <w:rPr>
          <w:rFonts w:hint="eastAsia" w:ascii="宋体" w:hAnsi="宋体" w:eastAsia="宋体" w:cs="宋体"/>
          <w:b w:val="0"/>
          <w:bCs/>
          <w:color w:val="auto"/>
          <w:sz w:val="21"/>
          <w:szCs w:val="21"/>
          <w:highlight w:val="none"/>
          <w:lang w:eastAsia="zh-CN"/>
        </w:rPr>
        <w:t>行追究，同时按有关规定进行相应的处罚。</w:t>
      </w:r>
    </w:p>
    <w:p w14:paraId="2E2E7DCC">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cs="宋体"/>
          <w:b w:val="0"/>
          <w:bCs/>
          <w:color w:val="auto"/>
          <w:sz w:val="21"/>
          <w:szCs w:val="21"/>
          <w:highlight w:val="none"/>
          <w:lang w:val="en-US" w:eastAsia="zh-CN"/>
        </w:rPr>
        <w:t>3</w:t>
      </w:r>
      <w:r>
        <w:rPr>
          <w:rFonts w:hint="eastAsia"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eastAsia="zh-CN"/>
        </w:rPr>
        <w:t>若乙方提交的统计调查成果未达到合同及甲方的质量标准,包括抽样方法错误、数据失真、逻辑校验错误、分析结论重大偏差等。若首次修正后仍未达标的或未能在限期内完成修正,甲方除有权解除本合同外、乙方应支付本合同总价20%违约金。</w:t>
      </w:r>
    </w:p>
    <w:p w14:paraId="0D861D06">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cs="宋体"/>
          <w:b w:val="0"/>
          <w:bCs/>
          <w:color w:val="auto"/>
          <w:sz w:val="21"/>
          <w:szCs w:val="21"/>
          <w:highlight w:val="none"/>
          <w:lang w:val="en-US" w:eastAsia="zh-CN"/>
        </w:rPr>
        <w:t>4</w:t>
      </w:r>
      <w:r>
        <w:rPr>
          <w:rFonts w:hint="eastAsia"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eastAsia="zh-CN"/>
        </w:rPr>
        <w:t>乙方违反合同保密义务、或未能遵守数据保护法律规定,导致甲方的原始数据、调查对象信息、调查问卷内客、未公开的分析方法等涉密涉敏信息泄露、丢失、滥用或被用于本合同未授权目的。乙方除采取一切措施及时补救外,还应承担合同总价30%违纳责任。违约金不足弥补甲方损失的乙方应予补足。</w:t>
      </w:r>
    </w:p>
    <w:p w14:paraId="01DBB0FF">
      <w:pPr>
        <w:pageBreakBefore w:val="0"/>
        <w:shd w:val="clear"/>
        <w:kinsoku/>
        <w:wordWrap/>
        <w:overflowPunct/>
        <w:topLinePunct w:val="0"/>
        <w:autoSpaceDE/>
        <w:autoSpaceDN/>
        <w:bidi w:val="0"/>
        <w:adjustRightInd/>
        <w:snapToGrid/>
        <w:spacing w:before="0" w:after="0" w:line="360" w:lineRule="auto"/>
        <w:ind w:left="0"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十</w:t>
      </w:r>
      <w:r>
        <w:rPr>
          <w:rFonts w:hint="eastAsia" w:ascii="宋体" w:hAnsi="宋体" w:eastAsia="宋体" w:cs="宋体"/>
          <w:b/>
          <w:bCs/>
          <w:color w:val="auto"/>
          <w:kern w:val="0"/>
          <w:sz w:val="21"/>
          <w:szCs w:val="21"/>
          <w:highlight w:val="none"/>
          <w:lang w:val="en-US" w:eastAsia="zh-CN"/>
        </w:rPr>
        <w:t>三</w:t>
      </w: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sz w:val="21"/>
          <w:szCs w:val="21"/>
          <w:highlight w:val="none"/>
        </w:rPr>
        <w:t>保密条款</w:t>
      </w:r>
    </w:p>
    <w:p w14:paraId="68472FD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双方承诺，除非法律另有规定或双方一致同意，任何一方不得将本协议的内容向第三方透露，否则，应向对方承担相应的违约责任。</w:t>
      </w:r>
    </w:p>
    <w:p w14:paraId="47FA127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同意在本协议期限内或之后，只为本协议目的而使用属于对方的保密资料，在未得到对方书面同意之前，不将对方的保密资料披露给第三方，以及如果披露方要求，接受方应立即将任何被要求退还的保密资料退还给披露方。</w:t>
      </w:r>
    </w:p>
    <w:p w14:paraId="6B76CF9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为公众所知的；接受方通过没有保密义务的独立渠道合法获得的资料；接受方在本协议保密条款签订之前已经知道的资料；因法律行为（包括诉讼、仲裁等行为）和执行国家政策的需要进行披露的资料。</w:t>
      </w:r>
    </w:p>
    <w:p w14:paraId="5960C3F0">
      <w:pPr>
        <w:pStyle w:val="2"/>
        <w:pageBreakBefore w:val="0"/>
        <w:shd w:val="clear"/>
        <w:kinsoku/>
        <w:wordWrap/>
        <w:overflowPunct/>
        <w:topLinePunct w:val="0"/>
        <w:autoSpaceDE/>
        <w:autoSpaceDN/>
        <w:bidi w:val="0"/>
        <w:adjustRightInd/>
        <w:snapToGrid/>
        <w:spacing w:after="0"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十四、</w:t>
      </w:r>
      <w:r>
        <w:rPr>
          <w:rFonts w:hint="eastAsia" w:ascii="宋体" w:hAnsi="宋体" w:eastAsia="宋体" w:cs="宋体"/>
          <w:b/>
          <w:bCs/>
          <w:color w:val="auto"/>
          <w:kern w:val="0"/>
          <w:sz w:val="21"/>
          <w:szCs w:val="21"/>
          <w:highlight w:val="none"/>
        </w:rPr>
        <w:t>政府采购合同履行</w:t>
      </w:r>
    </w:p>
    <w:p w14:paraId="0A92C9F9">
      <w:pPr>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595205C5">
      <w:pPr>
        <w:pageBreakBefore w:val="0"/>
        <w:shd w:val="clear"/>
        <w:tabs>
          <w:tab w:val="left" w:pos="498"/>
        </w:tabs>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五</w:t>
      </w:r>
      <w:r>
        <w:rPr>
          <w:rFonts w:hint="eastAsia" w:ascii="宋体" w:hAnsi="宋体" w:eastAsia="宋体" w:cs="宋体"/>
          <w:b/>
          <w:color w:val="auto"/>
          <w:sz w:val="21"/>
          <w:szCs w:val="21"/>
          <w:highlight w:val="none"/>
          <w:lang w:bidi="ar"/>
        </w:rPr>
        <w:t>、合同争议的解决</w:t>
      </w:r>
    </w:p>
    <w:p w14:paraId="257597B8">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因本合同产生纠纷，如协商无法解决，双方均有权向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所在地人民法院提起诉讼。</w:t>
      </w:r>
    </w:p>
    <w:p w14:paraId="573EFBFA">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Cs/>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六</w:t>
      </w:r>
      <w:r>
        <w:rPr>
          <w:rFonts w:hint="eastAsia" w:ascii="宋体" w:hAnsi="宋体" w:eastAsia="宋体" w:cs="宋体"/>
          <w:b/>
          <w:color w:val="auto"/>
          <w:sz w:val="21"/>
          <w:szCs w:val="21"/>
          <w:highlight w:val="none"/>
          <w:lang w:bidi="ar"/>
        </w:rPr>
        <w:t>、其他</w:t>
      </w:r>
    </w:p>
    <w:p w14:paraId="4187B062">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bidi="ar"/>
        </w:rPr>
        <w:t>1、不可抗力情况下的免责约定，双方约定不可抗力情况包括：五级以上地震、大风、大雨、大雪。</w:t>
      </w:r>
    </w:p>
    <w:p w14:paraId="7B7426F9">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2、除本合</w:t>
      </w:r>
      <w:r>
        <w:rPr>
          <w:rFonts w:hint="eastAsia" w:ascii="宋体" w:hAnsi="宋体" w:eastAsia="宋体" w:cs="宋体"/>
          <w:color w:val="auto"/>
          <w:sz w:val="21"/>
          <w:szCs w:val="21"/>
          <w:highlight w:val="none"/>
          <w:lang w:bidi="ar"/>
        </w:rPr>
        <w:t>同约定，合同一经签订，不得擅自变更、中止或者终止合同。对确需变更、调整或者中止、终止合同的，应按规定履行相应的手续。</w:t>
      </w:r>
    </w:p>
    <w:p w14:paraId="343CDA29">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bidi="ar"/>
        </w:rPr>
        <w:t>十</w:t>
      </w:r>
      <w:r>
        <w:rPr>
          <w:rFonts w:hint="eastAsia" w:ascii="宋体" w:hAnsi="宋体" w:eastAsia="宋体" w:cs="宋体"/>
          <w:b/>
          <w:color w:val="auto"/>
          <w:sz w:val="21"/>
          <w:szCs w:val="21"/>
          <w:highlight w:val="none"/>
          <w:lang w:val="en-US" w:eastAsia="zh-CN" w:bidi="ar"/>
        </w:rPr>
        <w:t>七</w:t>
      </w:r>
      <w:r>
        <w:rPr>
          <w:rFonts w:hint="eastAsia" w:ascii="宋体" w:hAnsi="宋体" w:eastAsia="宋体" w:cs="宋体"/>
          <w:b/>
          <w:color w:val="auto"/>
          <w:sz w:val="21"/>
          <w:szCs w:val="21"/>
          <w:highlight w:val="none"/>
          <w:lang w:bidi="ar"/>
        </w:rPr>
        <w:t>、合同订立</w:t>
      </w:r>
    </w:p>
    <w:p w14:paraId="2B23830B">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订立时间：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月</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日。</w:t>
      </w:r>
    </w:p>
    <w:p w14:paraId="3313ADC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2</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订立地点：</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7BFCA97F">
      <w:pPr>
        <w:pageBreakBefore w:val="0"/>
        <w:shd w:val="clear"/>
        <w:tabs>
          <w:tab w:val="left" w:pos="980"/>
        </w:tabs>
        <w:kinsoku w:val="0"/>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3</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rPr>
        <w:t>本合同自双方签字、盖章之日起生效。合同文本一式</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份，具同等法律效力。</w:t>
      </w:r>
    </w:p>
    <w:p w14:paraId="63970AEA">
      <w:pP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br w:type="page"/>
      </w:r>
    </w:p>
    <w:p w14:paraId="53D5C246">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bidi="ar"/>
        </w:rPr>
      </w:pPr>
    </w:p>
    <w:p w14:paraId="73369AFC">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（以下无正文）</w:t>
      </w:r>
    </w:p>
    <w:p w14:paraId="6199C6CF">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bidi="ar"/>
        </w:rPr>
        <w:t>甲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r>
        <w:rPr>
          <w:rFonts w:hint="eastAsia" w:ascii="宋体" w:hAnsi="宋体" w:eastAsia="宋体" w:cs="宋体"/>
          <w:color w:val="auto"/>
          <w:sz w:val="21"/>
          <w:szCs w:val="21"/>
          <w:highlight w:val="none"/>
          <w:lang w:bidi="ar"/>
        </w:rPr>
        <w:t xml:space="preserve">      </w:t>
      </w:r>
      <w:r>
        <w:rPr>
          <w:rFonts w:hint="eastAsia" w:hAnsi="宋体" w:cs="宋体"/>
          <w:color w:val="auto"/>
          <w:sz w:val="21"/>
          <w:szCs w:val="21"/>
          <w:highlight w:val="none"/>
          <w:lang w:val="en-US" w:eastAsia="zh-CN" w:bidi="ar"/>
        </w:rPr>
        <w:t xml:space="preserve"> 乙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p>
    <w:p w14:paraId="35D302FA">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地  址：</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地  址：</w:t>
      </w:r>
      <w:r>
        <w:rPr>
          <w:rFonts w:hint="eastAsia" w:ascii="宋体" w:hAnsi="宋体" w:eastAsia="宋体" w:cs="宋体"/>
          <w:color w:val="auto"/>
          <w:sz w:val="21"/>
          <w:szCs w:val="21"/>
          <w:highlight w:val="none"/>
          <w:u w:val="single"/>
          <w:lang w:bidi="ar"/>
        </w:rPr>
        <w:t xml:space="preserve">                     </w:t>
      </w:r>
    </w:p>
    <w:p w14:paraId="565D7D7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邮政编码：</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邮政编码：</w:t>
      </w:r>
      <w:r>
        <w:rPr>
          <w:rFonts w:hint="eastAsia" w:ascii="宋体" w:hAnsi="宋体" w:eastAsia="宋体" w:cs="宋体"/>
          <w:color w:val="auto"/>
          <w:sz w:val="21"/>
          <w:szCs w:val="21"/>
          <w:highlight w:val="none"/>
          <w:u w:val="single"/>
          <w:lang w:bidi="ar"/>
        </w:rPr>
        <w:t xml:space="preserve">                   </w:t>
      </w:r>
    </w:p>
    <w:p w14:paraId="301CEB8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法定代表人或其授权                 法定代表人或其授权</w:t>
      </w:r>
    </w:p>
    <w:p w14:paraId="5B21D9F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的代理人：</w:t>
      </w:r>
      <w:r>
        <w:rPr>
          <w:rFonts w:hint="eastAsia" w:ascii="宋体" w:hAnsi="宋体" w:eastAsia="宋体" w:cs="宋体"/>
          <w:color w:val="auto"/>
          <w:sz w:val="21"/>
          <w:szCs w:val="21"/>
          <w:highlight w:val="none"/>
          <w:u w:val="single"/>
          <w:lang w:bidi="ar"/>
        </w:rPr>
        <w:t xml:space="preserve">（签字）         </w:t>
      </w:r>
      <w:r>
        <w:rPr>
          <w:rFonts w:hint="eastAsia" w:ascii="宋体" w:hAnsi="宋体" w:eastAsia="宋体" w:cs="宋体"/>
          <w:color w:val="auto"/>
          <w:sz w:val="21"/>
          <w:szCs w:val="21"/>
          <w:highlight w:val="none"/>
          <w:lang w:bidi="ar"/>
        </w:rPr>
        <w:t xml:space="preserve">        的代理人：</w:t>
      </w:r>
      <w:r>
        <w:rPr>
          <w:rFonts w:hint="eastAsia" w:ascii="宋体" w:hAnsi="宋体" w:eastAsia="宋体" w:cs="宋体"/>
          <w:color w:val="auto"/>
          <w:sz w:val="21"/>
          <w:szCs w:val="21"/>
          <w:highlight w:val="none"/>
          <w:u w:val="single"/>
          <w:lang w:bidi="ar"/>
        </w:rPr>
        <w:t xml:space="preserve">（签字）           </w:t>
      </w:r>
    </w:p>
    <w:p w14:paraId="67A3DC88">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开户银行：</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开户银行：</w:t>
      </w:r>
      <w:r>
        <w:rPr>
          <w:rFonts w:hint="eastAsia" w:ascii="宋体" w:hAnsi="宋体" w:eastAsia="宋体" w:cs="宋体"/>
          <w:color w:val="auto"/>
          <w:sz w:val="21"/>
          <w:szCs w:val="21"/>
          <w:highlight w:val="none"/>
          <w:u w:val="single"/>
          <w:lang w:bidi="ar"/>
        </w:rPr>
        <w:t xml:space="preserve">                   </w:t>
      </w:r>
    </w:p>
    <w:p w14:paraId="62A1424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账号：</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账号：</w:t>
      </w:r>
      <w:r>
        <w:rPr>
          <w:rFonts w:hint="eastAsia" w:ascii="宋体" w:hAnsi="宋体" w:eastAsia="宋体" w:cs="宋体"/>
          <w:color w:val="auto"/>
          <w:sz w:val="21"/>
          <w:szCs w:val="21"/>
          <w:highlight w:val="none"/>
          <w:u w:val="single"/>
          <w:lang w:bidi="ar"/>
        </w:rPr>
        <w:t xml:space="preserve">                       </w:t>
      </w:r>
    </w:p>
    <w:p w14:paraId="6F0A8F4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电话：</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电话：</w:t>
      </w:r>
      <w:r>
        <w:rPr>
          <w:rFonts w:hint="eastAsia" w:ascii="宋体" w:hAnsi="宋体" w:eastAsia="宋体" w:cs="宋体"/>
          <w:color w:val="auto"/>
          <w:sz w:val="21"/>
          <w:szCs w:val="21"/>
          <w:highlight w:val="none"/>
          <w:u w:val="single"/>
          <w:lang w:bidi="ar"/>
        </w:rPr>
        <w:t xml:space="preserve">                       </w:t>
      </w:r>
    </w:p>
    <w:p w14:paraId="2C0406F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传真：</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传真：</w:t>
      </w:r>
      <w:r>
        <w:rPr>
          <w:rFonts w:hint="eastAsia" w:ascii="宋体" w:hAnsi="宋体" w:eastAsia="宋体" w:cs="宋体"/>
          <w:color w:val="auto"/>
          <w:sz w:val="21"/>
          <w:szCs w:val="21"/>
          <w:highlight w:val="none"/>
          <w:u w:val="single"/>
          <w:lang w:bidi="ar"/>
        </w:rPr>
        <w:t xml:space="preserve">                       </w:t>
      </w:r>
    </w:p>
    <w:p w14:paraId="2CA798BA">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zh-CN" w:bidi="ar"/>
        </w:rPr>
      </w:pPr>
      <w:r>
        <w:rPr>
          <w:rFonts w:hint="eastAsia" w:ascii="宋体" w:hAnsi="宋体" w:eastAsia="宋体" w:cs="宋体"/>
          <w:color w:val="auto"/>
          <w:sz w:val="21"/>
          <w:szCs w:val="21"/>
          <w:highlight w:val="none"/>
          <w:lang w:bidi="ar"/>
        </w:rPr>
        <w:t>电子邮箱：</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电子邮箱：</w:t>
      </w:r>
      <w:r>
        <w:rPr>
          <w:rFonts w:hint="eastAsia" w:ascii="宋体" w:hAnsi="宋体" w:eastAsia="宋体" w:cs="宋体"/>
          <w:color w:val="auto"/>
          <w:sz w:val="21"/>
          <w:szCs w:val="21"/>
          <w:highlight w:val="none"/>
          <w:u w:val="single"/>
          <w:lang w:bidi="ar"/>
        </w:rPr>
        <w:t xml:space="preserve">                   </w:t>
      </w:r>
    </w:p>
    <w:p w14:paraId="4D8DFA0B">
      <w:pPr>
        <w:pStyle w:val="6"/>
        <w:shd w:val="clear"/>
        <w:rPr>
          <w:rFonts w:hint="eastAsia" w:ascii="宋体" w:hAnsi="宋体" w:eastAsia="宋体" w:cs="宋体"/>
          <w:color w:val="auto"/>
          <w:highlight w:val="none"/>
          <w:lang w:val="en-US" w:eastAsia="zh-Hans"/>
        </w:rPr>
      </w:pPr>
    </w:p>
    <w:p w14:paraId="2D0554E5">
      <w:bookmarkStart w:id="7" w:name="_GoBack"/>
      <w:bookmarkEnd w:id="7"/>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B64E">
    <w:pPr>
      <w:pStyle w:val="3"/>
      <w:rPr>
        <w:rFonts w:hint="eastAsia" w:ascii="仿宋_GB2312" w:eastAsia="仿宋_GB2312"/>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D585F"/>
    <w:rsid w:val="25FD5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2025-07-10T11:21:00Z</dcterms:created>
  <dc:creator>ZBB</dc:creator>
  <cp:lastModifiedBy>ZBB</cp:lastModifiedBy>
  <dcterms:modified xsi:type="dcterms:W3CDTF">2025-07-10T11:21:08Z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8044E7BB764B41478D9E965252C37522_11</vt:lpwstr>
  </property>
  <property fmtid="{D5CDD505-2E9C-101B-9397-08002B2CF9AE}" pid="4" name="KSOTemplateDocerSaveRecord">
    <vt:lpwstr>eyJoZGlkIjoiOTEyYzIzM2JjMDZhZTI1YTVkN2JmNzE3MWQ0NmNkMjgiLCJ1c2VySWQiOiIyNjQ2NDU1NDQifQ==</vt:lpwstr>
  </property>
</Properties>
</file>