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版本号：CGZC-2025-046（ZR20GN2025-CS-029）20250711001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2025年全区信访维稳安全保障保安服务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CGZC-2025-046（ZR20GN2025-CS-029）</w:t>
      </w:r>
      <w:r>
        <w:br/>
      </w:r>
      <w:r>
        <w:br/>
      </w:r>
      <w:r>
        <w:br/>
      </w:r>
    </w:p>
    <w:p>
      <w:pPr>
        <w:pStyle w:val="null3"/>
        <w:jc w:val="center"/>
        <w:outlineLvl w:val="2"/>
      </w:pPr>
      <w:r>
        <w:rPr>
          <w:rFonts w:ascii="仿宋_GB2312" w:hAnsi="仿宋_GB2312" w:cs="仿宋_GB2312" w:eastAsia="仿宋_GB2312"/>
          <w:sz w:val="28"/>
          <w:b/>
        </w:rPr>
        <w:t>西安浐灞国际港党群工作部</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西安浐灞国际港党群工作部</w:t>
      </w:r>
      <w:r>
        <w:rPr>
          <w:rFonts w:ascii="仿宋_GB2312" w:hAnsi="仿宋_GB2312" w:cs="仿宋_GB2312" w:eastAsia="仿宋_GB2312"/>
        </w:rPr>
        <w:t>委托，拟对</w:t>
      </w:r>
      <w:r>
        <w:rPr>
          <w:rFonts w:ascii="仿宋_GB2312" w:hAnsi="仿宋_GB2312" w:cs="仿宋_GB2312" w:eastAsia="仿宋_GB2312"/>
        </w:rPr>
        <w:t>2025年全区信访维稳安全保障保安服务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CGZC-2025-046（ZR20GN2025-CS-029）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2025年全区信访维稳安全保障保安服务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采购2025年全区信访维稳安全保障保安服务。主要服务内容包括2025年全区信访维稳安全保障所需的保安服务。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采购包1（2025年全区信访维稳安全保障保安服务第1包）：属于专门面向中小企业采购。</w:t>
      </w:r>
    </w:p>
    <w:p>
      <w:pPr>
        <w:pStyle w:val="null3"/>
      </w:pPr>
      <w:r>
        <w:rPr>
          <w:rFonts w:ascii="仿宋_GB2312" w:hAnsi="仿宋_GB2312" w:cs="仿宋_GB2312" w:eastAsia="仿宋_GB2312"/>
        </w:rPr>
        <w:t>采购包2（2025年全区信访维稳安全保障保安服务第2包）：属于专门面向中小企业采购。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2、资质证书：供应商需具有公安部门颁发的保安服务许可证（省外供应商还须提供在西安市公安机关备案登记证）；</w:t>
      </w:r>
    </w:p>
    <w:p>
      <w:pPr>
        <w:pStyle w:val="null3"/>
      </w:pPr>
      <w:r>
        <w:rPr>
          <w:rFonts w:ascii="仿宋_GB2312" w:hAnsi="仿宋_GB2312" w:cs="仿宋_GB2312" w:eastAsia="仿宋_GB2312"/>
        </w:rPr>
        <w:t>3、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4、联合体：本项目不接受联合体竞争性磋商。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2、资质证书：供应商需具有公安部门颁发的保安服务许可证（省外供应商还须提供在西安市公安机关备案登记证）；</w:t>
      </w:r>
    </w:p>
    <w:p>
      <w:pPr>
        <w:pStyle w:val="null3"/>
      </w:pPr>
      <w:r>
        <w:rPr>
          <w:rFonts w:ascii="仿宋_GB2312" w:hAnsi="仿宋_GB2312" w:cs="仿宋_GB2312" w:eastAsia="仿宋_GB2312"/>
        </w:rPr>
        <w:t>3、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4、联合体：本项目不接受联合体竞争性磋商。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西安浐灞国际港党群工作部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029-88074591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由采购人与采购代理机构约定：参照《国家计委关于印发&lt;招标代理服务收费管理暂行办法&gt;的通知》（计价格[2002]1980号）和国家发展和改革委员会办公厅颁发的《关于招标代理服务收费有关问题的通知》（发改办价格『2003』857号）规定按标准收取，若按照标准收取不足6000元/包，按6000元/包计取。 成交单位的代理服务费交纳信息 银行户名：陕西中润国际招标有限公司 开户银行：中信银行西安雁塔西路支行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西安浐灞国际港党群工作部</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西安浐灞国际港党群工作部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西安浐灞国际港党群工作部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每月由甲方出具的《保安服务考核表》，如遇重大活动或会议需单独提交安全保障方案。符合国家法律法规规定的标准、竞争性磋商文件和乙方竞争性磋商响应文件所要求的服务标准。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每月由甲方出具的《保安服务考核表》，如遇重大活动或会议需单独提交安全保障方案。符合国家法律法规规定的标准、竞争性磋商文件和乙方竞争性磋商响应文件所要求的服务标准。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采购2025年全区信访维稳安全保障保安服务。主要服务内容包括2025年全区信访维稳安全保障所需的保安服务。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2025年全区信访维稳安全保障保安服务第1包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2025年全区信访维稳安全保障保安服务第2包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标的名称：2025年全区信访维稳安全保障保安服务第1包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1、保安执勤服务</w:t>
            </w:r>
          </w:p>
          <w:p>
            <w:pPr>
              <w:pStyle w:val="null3"/>
            </w:pPr>
            <w:r>
              <w:rPr>
                <w:rFonts w:ascii="仿宋_GB2312" w:hAnsi="仿宋_GB2312" w:cs="仿宋_GB2312" w:eastAsia="仿宋_GB2312"/>
              </w:rPr>
              <w:t>①重大活动期间负责人员出入登记、安全检查、秩序维护；</w:t>
            </w:r>
          </w:p>
          <w:p>
            <w:pPr>
              <w:pStyle w:val="null3"/>
            </w:pPr>
            <w:r>
              <w:rPr>
                <w:rFonts w:ascii="仿宋_GB2312" w:hAnsi="仿宋_GB2312" w:cs="仿宋_GB2312" w:eastAsia="仿宋_GB2312"/>
              </w:rPr>
              <w:t>②重点区域巡逻（如停车场、办公楼出入口、敏感办公区）；</w:t>
            </w:r>
          </w:p>
          <w:p>
            <w:pPr>
              <w:pStyle w:val="null3"/>
            </w:pPr>
            <w:r>
              <w:rPr>
                <w:rFonts w:ascii="仿宋_GB2312" w:hAnsi="仿宋_GB2312" w:cs="仿宋_GB2312" w:eastAsia="仿宋_GB2312"/>
              </w:rPr>
              <w:t>③突发事件维稳</w:t>
            </w:r>
          </w:p>
          <w:p>
            <w:pPr>
              <w:pStyle w:val="null3"/>
            </w:pPr>
            <w:r>
              <w:rPr>
                <w:rFonts w:ascii="仿宋_GB2312" w:hAnsi="仿宋_GB2312" w:cs="仿宋_GB2312" w:eastAsia="仿宋_GB2312"/>
              </w:rPr>
              <w:t>2、交通疏导服务</w:t>
            </w:r>
          </w:p>
          <w:p>
            <w:pPr>
              <w:pStyle w:val="null3"/>
            </w:pPr>
            <w:r>
              <w:rPr>
                <w:rFonts w:ascii="仿宋_GB2312" w:hAnsi="仿宋_GB2312" w:cs="仿宋_GB2312" w:eastAsia="仿宋_GB2312"/>
              </w:rPr>
              <w:t>①停车场引导、车辆停放规范管理；</w:t>
            </w:r>
          </w:p>
          <w:p>
            <w:pPr>
              <w:pStyle w:val="null3"/>
            </w:pPr>
            <w:r>
              <w:rPr>
                <w:rFonts w:ascii="仿宋_GB2312" w:hAnsi="仿宋_GB2312" w:cs="仿宋_GB2312" w:eastAsia="仿宋_GB2312"/>
              </w:rPr>
              <w:t>②信访高峰期周边交通秩序维护。</w:t>
            </w:r>
          </w:p>
          <w:p>
            <w:pPr>
              <w:pStyle w:val="null3"/>
            </w:pPr>
            <w:r>
              <w:rPr>
                <w:rFonts w:ascii="仿宋_GB2312" w:hAnsi="仿宋_GB2312" w:cs="仿宋_GB2312" w:eastAsia="仿宋_GB2312"/>
              </w:rPr>
              <w:t>3、其他增值服务</w:t>
            </w:r>
          </w:p>
          <w:p>
            <w:pPr>
              <w:pStyle w:val="null3"/>
            </w:pPr>
            <w:r>
              <w:rPr>
                <w:rFonts w:ascii="仿宋_GB2312" w:hAnsi="仿宋_GB2312" w:cs="仿宋_GB2312" w:eastAsia="仿宋_GB2312"/>
              </w:rPr>
              <w:t>①协助采购人开展安全宣传教育；</w:t>
            </w:r>
          </w:p>
          <w:p>
            <w:pPr>
              <w:pStyle w:val="null3"/>
              <w:spacing w:after="195"/>
            </w:pPr>
            <w:r>
              <w:rPr>
                <w:rFonts w:ascii="仿宋_GB2312" w:hAnsi="仿宋_GB2312" w:cs="仿宋_GB2312" w:eastAsia="仿宋_GB2312"/>
              </w:rPr>
              <w:t>②特殊节日或会议期间的保安升级。</w:t>
            </w:r>
          </w:p>
          <w:p>
            <w:pPr>
              <w:pStyle w:val="null3"/>
              <w:spacing w:after="195"/>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技术要求：</w:t>
            </w:r>
          </w:p>
          <w:p>
            <w:pPr>
              <w:pStyle w:val="null3"/>
              <w:jc w:val="both"/>
            </w:pPr>
            <w:r>
              <w:rPr>
                <w:rFonts w:ascii="仿宋_GB2312" w:hAnsi="仿宋_GB2312" w:cs="仿宋_GB2312" w:eastAsia="仿宋_GB2312"/>
              </w:rPr>
              <w:t>1、保安设备标准</w:t>
            </w:r>
          </w:p>
          <w:p>
            <w:pPr>
              <w:pStyle w:val="null3"/>
              <w:jc w:val="both"/>
            </w:pPr>
            <w:r>
              <w:rPr>
                <w:rFonts w:ascii="仿宋_GB2312" w:hAnsi="仿宋_GB2312" w:cs="仿宋_GB2312" w:eastAsia="仿宋_GB2312"/>
              </w:rPr>
              <w:t>配备对讲机、强光手电、防暴棍等基础装备；鼓励使用智能安防设备（如人脸识别、智能门禁，需与管委会系统兼容）。</w:t>
            </w:r>
          </w:p>
          <w:p>
            <w:pPr>
              <w:pStyle w:val="null3"/>
              <w:jc w:val="both"/>
            </w:pPr>
            <w:r>
              <w:rPr>
                <w:rFonts w:ascii="仿宋_GB2312" w:hAnsi="仿宋_GB2312" w:cs="仿宋_GB2312" w:eastAsia="仿宋_GB2312"/>
              </w:rPr>
              <w:t>2、应急联动机制</w:t>
            </w:r>
          </w:p>
          <w:p>
            <w:pPr>
              <w:pStyle w:val="null3"/>
              <w:spacing w:after="195"/>
            </w:pPr>
            <w:r>
              <w:rPr>
                <w:rFonts w:ascii="仿宋_GB2312" w:hAnsi="仿宋_GB2312" w:cs="仿宋_GB2312" w:eastAsia="仿宋_GB2312"/>
              </w:rPr>
              <w:t>24小时对接应急、公安、消防等部门，建立快速响应流程。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1、人员资质</w:t>
            </w:r>
          </w:p>
          <w:p>
            <w:pPr>
              <w:pStyle w:val="null3"/>
            </w:pPr>
            <w:r>
              <w:rPr>
                <w:rFonts w:ascii="仿宋_GB2312" w:hAnsi="仿宋_GB2312" w:cs="仿宋_GB2312" w:eastAsia="仿宋_GB2312"/>
              </w:rPr>
              <w:t>①保安人员需持《保安员证》持证率100%；</w:t>
            </w:r>
          </w:p>
          <w:p>
            <w:pPr>
              <w:pStyle w:val="null3"/>
            </w:pPr>
            <w:r>
              <w:rPr>
                <w:rFonts w:ascii="仿宋_GB2312" w:hAnsi="仿宋_GB2312" w:cs="仿宋_GB2312" w:eastAsia="仿宋_GB2312"/>
              </w:rPr>
              <w:t>②保安队伍负责人需具备3年以上保安管理经验，熟悉政府机关保安流程。</w:t>
            </w:r>
          </w:p>
          <w:p>
            <w:pPr>
              <w:pStyle w:val="null3"/>
            </w:pPr>
            <w:r>
              <w:rPr>
                <w:rFonts w:ascii="仿宋_GB2312" w:hAnsi="仿宋_GB2312" w:cs="仿宋_GB2312" w:eastAsia="仿宋_GB2312"/>
              </w:rPr>
              <w:t>2、人员配备</w:t>
            </w:r>
          </w:p>
          <w:p>
            <w:pPr>
              <w:pStyle w:val="null3"/>
            </w:pPr>
            <w:r>
              <w:rPr>
                <w:rFonts w:ascii="仿宋_GB2312" w:hAnsi="仿宋_GB2312" w:cs="仿宋_GB2312" w:eastAsia="仿宋_GB2312"/>
              </w:rPr>
              <w:t>供应商需根据项目实际情况配备相应的保安人员。若遇重大活动或突发事件，供应商须无条件响应采购人要求及时增减保安人员。</w:t>
            </w:r>
          </w:p>
          <w:p>
            <w:pPr>
              <w:pStyle w:val="null3"/>
            </w:pPr>
            <w:r>
              <w:rPr>
                <w:rFonts w:ascii="仿宋_GB2312" w:hAnsi="仿宋_GB2312" w:cs="仿宋_GB2312" w:eastAsia="仿宋_GB2312"/>
              </w:rPr>
              <w:t>3、培训要求</w:t>
            </w:r>
          </w:p>
          <w:p>
            <w:pPr>
              <w:pStyle w:val="null3"/>
            </w:pPr>
            <w:r>
              <w:rPr>
                <w:rFonts w:ascii="仿宋_GB2312" w:hAnsi="仿宋_GB2312" w:cs="仿宋_GB2312" w:eastAsia="仿宋_GB2312"/>
              </w:rPr>
              <w:t>①每月至少开展反恐演练、消防培训、突发事件处置培训；</w:t>
            </w:r>
          </w:p>
          <w:p>
            <w:pPr>
              <w:pStyle w:val="null3"/>
            </w:pPr>
            <w:r>
              <w:rPr>
                <w:rFonts w:ascii="仿宋_GB2312" w:hAnsi="仿宋_GB2312" w:cs="仿宋_GB2312" w:eastAsia="仿宋_GB2312"/>
              </w:rPr>
              <w:t>②提供培训记录、考核结果及演练视频存档。</w:t>
            </w:r>
          </w:p>
          <w:p>
            <w:pPr>
              <w:pStyle w:val="null3"/>
            </w:pPr>
            <w:r>
              <w:rPr>
                <w:rFonts w:ascii="仿宋_GB2312" w:hAnsi="仿宋_GB2312" w:cs="仿宋_GB2312" w:eastAsia="仿宋_GB2312"/>
              </w:rPr>
              <w:t>4、应急预案</w:t>
            </w:r>
          </w:p>
          <w:p>
            <w:pPr>
              <w:pStyle w:val="null3"/>
            </w:pPr>
            <w:r>
              <w:rPr>
                <w:rFonts w:ascii="仿宋_GB2312" w:hAnsi="仿宋_GB2312" w:cs="仿宋_GB2312" w:eastAsia="仿宋_GB2312"/>
              </w:rPr>
              <w:t>①提交《信访维稳保安应急预案》，涵盖群体冲突、暴力事件、公共卫生事件等场景；</w:t>
            </w:r>
          </w:p>
          <w:p>
            <w:pPr>
              <w:pStyle w:val="null3"/>
              <w:spacing w:after="195"/>
            </w:pPr>
            <w:r>
              <w:rPr>
                <w:rFonts w:ascii="仿宋_GB2312" w:hAnsi="仿宋_GB2312" w:cs="仿宋_GB2312" w:eastAsia="仿宋_GB2312"/>
              </w:rPr>
              <w:t>②每季度组织实战演练，由采购人参与验收。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after="195"/>
            </w:pPr>
            <w:r>
              <w:rPr>
                <w:rFonts w:ascii="仿宋_GB2312" w:hAnsi="仿宋_GB2312" w:cs="仿宋_GB2312" w:eastAsia="仿宋_GB2312"/>
              </w:rPr>
              <w:t>本项目最高含税完全综合单价限价300元/人·天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标的名称：2025年全区信访维稳安全保障保安服务第2包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1、保安执勤服务</w:t>
            </w:r>
          </w:p>
          <w:p>
            <w:pPr>
              <w:pStyle w:val="null3"/>
            </w:pPr>
            <w:r>
              <w:rPr>
                <w:rFonts w:ascii="仿宋_GB2312" w:hAnsi="仿宋_GB2312" w:cs="仿宋_GB2312" w:eastAsia="仿宋_GB2312"/>
              </w:rPr>
              <w:t>①重大活动期间负责人员出入登记、安全检查、秩序维护；</w:t>
            </w:r>
          </w:p>
          <w:p>
            <w:pPr>
              <w:pStyle w:val="null3"/>
            </w:pPr>
            <w:r>
              <w:rPr>
                <w:rFonts w:ascii="仿宋_GB2312" w:hAnsi="仿宋_GB2312" w:cs="仿宋_GB2312" w:eastAsia="仿宋_GB2312"/>
              </w:rPr>
              <w:t>②重点区域巡逻（如停车场、办公楼出入口、敏感办公区）；</w:t>
            </w:r>
          </w:p>
          <w:p>
            <w:pPr>
              <w:pStyle w:val="null3"/>
            </w:pPr>
            <w:r>
              <w:rPr>
                <w:rFonts w:ascii="仿宋_GB2312" w:hAnsi="仿宋_GB2312" w:cs="仿宋_GB2312" w:eastAsia="仿宋_GB2312"/>
              </w:rPr>
              <w:t>③突发事件维稳</w:t>
            </w:r>
          </w:p>
          <w:p>
            <w:pPr>
              <w:pStyle w:val="null3"/>
            </w:pPr>
            <w:r>
              <w:rPr>
                <w:rFonts w:ascii="仿宋_GB2312" w:hAnsi="仿宋_GB2312" w:cs="仿宋_GB2312" w:eastAsia="仿宋_GB2312"/>
              </w:rPr>
              <w:t>④技术安防支持</w:t>
            </w:r>
          </w:p>
          <w:p>
            <w:pPr>
              <w:pStyle w:val="null3"/>
            </w:pPr>
            <w:r>
              <w:rPr>
                <w:rFonts w:ascii="仿宋_GB2312" w:hAnsi="仿宋_GB2312" w:cs="仿宋_GB2312" w:eastAsia="仿宋_GB2312"/>
              </w:rPr>
              <w:t>⑤配合现有监控系统，实时监控信访区域；</w:t>
            </w:r>
          </w:p>
          <w:p>
            <w:pPr>
              <w:pStyle w:val="null3"/>
            </w:pPr>
            <w:r>
              <w:rPr>
                <w:rFonts w:ascii="仿宋_GB2312" w:hAnsi="仿宋_GB2312" w:cs="仿宋_GB2312" w:eastAsia="仿宋_GB2312"/>
              </w:rPr>
              <w:t>⑥配备安检设备（如需），协助开展违禁品排查。</w:t>
            </w:r>
          </w:p>
          <w:p>
            <w:pPr>
              <w:pStyle w:val="null3"/>
            </w:pPr>
            <w:r>
              <w:rPr>
                <w:rFonts w:ascii="仿宋_GB2312" w:hAnsi="仿宋_GB2312" w:cs="仿宋_GB2312" w:eastAsia="仿宋_GB2312"/>
              </w:rPr>
              <w:t>2、交通疏导服务</w:t>
            </w:r>
          </w:p>
          <w:p>
            <w:pPr>
              <w:pStyle w:val="null3"/>
            </w:pPr>
            <w:r>
              <w:rPr>
                <w:rFonts w:ascii="仿宋_GB2312" w:hAnsi="仿宋_GB2312" w:cs="仿宋_GB2312" w:eastAsia="仿宋_GB2312"/>
              </w:rPr>
              <w:t>①停车场引导、车辆停放规范管理；</w:t>
            </w:r>
          </w:p>
          <w:p>
            <w:pPr>
              <w:pStyle w:val="null3"/>
            </w:pPr>
            <w:r>
              <w:rPr>
                <w:rFonts w:ascii="仿宋_GB2312" w:hAnsi="仿宋_GB2312" w:cs="仿宋_GB2312" w:eastAsia="仿宋_GB2312"/>
              </w:rPr>
              <w:t>②信访高峰期周边交通秩序维护。</w:t>
            </w:r>
          </w:p>
          <w:p>
            <w:pPr>
              <w:pStyle w:val="null3"/>
            </w:pPr>
            <w:r>
              <w:rPr>
                <w:rFonts w:ascii="仿宋_GB2312" w:hAnsi="仿宋_GB2312" w:cs="仿宋_GB2312" w:eastAsia="仿宋_GB2312"/>
              </w:rPr>
              <w:t>3、其他增值服务</w:t>
            </w:r>
          </w:p>
          <w:p>
            <w:pPr>
              <w:pStyle w:val="null3"/>
            </w:pPr>
            <w:r>
              <w:rPr>
                <w:rFonts w:ascii="仿宋_GB2312" w:hAnsi="仿宋_GB2312" w:cs="仿宋_GB2312" w:eastAsia="仿宋_GB2312"/>
              </w:rPr>
              <w:t>①协助采购人开展安全宣传教育；</w:t>
            </w:r>
          </w:p>
          <w:p>
            <w:pPr>
              <w:pStyle w:val="null3"/>
              <w:spacing w:after="195"/>
            </w:pPr>
            <w:r>
              <w:rPr>
                <w:rFonts w:ascii="仿宋_GB2312" w:hAnsi="仿宋_GB2312" w:cs="仿宋_GB2312" w:eastAsia="仿宋_GB2312"/>
              </w:rPr>
              <w:t>②特殊节日或会议期间的保安升级。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技术要求：</w:t>
            </w:r>
          </w:p>
          <w:p>
            <w:pPr>
              <w:pStyle w:val="null3"/>
              <w:jc w:val="both"/>
            </w:pPr>
            <w:r>
              <w:rPr>
                <w:rFonts w:ascii="仿宋_GB2312" w:hAnsi="仿宋_GB2312" w:cs="仿宋_GB2312" w:eastAsia="仿宋_GB2312"/>
              </w:rPr>
              <w:t>1、保安设备标准</w:t>
            </w:r>
          </w:p>
          <w:p>
            <w:pPr>
              <w:pStyle w:val="null3"/>
              <w:jc w:val="both"/>
            </w:pPr>
            <w:r>
              <w:rPr>
                <w:rFonts w:ascii="仿宋_GB2312" w:hAnsi="仿宋_GB2312" w:cs="仿宋_GB2312" w:eastAsia="仿宋_GB2312"/>
              </w:rPr>
              <w:t>配备对讲机、强光手电、防暴棍等基础装备；鼓励使用智能安防设备（如人脸识别、智能门禁，需与管委会系统兼容）。</w:t>
            </w:r>
          </w:p>
          <w:p>
            <w:pPr>
              <w:pStyle w:val="null3"/>
              <w:jc w:val="both"/>
            </w:pPr>
            <w:r>
              <w:rPr>
                <w:rFonts w:ascii="仿宋_GB2312" w:hAnsi="仿宋_GB2312" w:cs="仿宋_GB2312" w:eastAsia="仿宋_GB2312"/>
              </w:rPr>
              <w:t>2、应急联动机制</w:t>
            </w:r>
          </w:p>
          <w:p>
            <w:pPr>
              <w:pStyle w:val="null3"/>
              <w:spacing w:after="195"/>
            </w:pPr>
            <w:r>
              <w:rPr>
                <w:rFonts w:ascii="仿宋_GB2312" w:hAnsi="仿宋_GB2312" w:cs="仿宋_GB2312" w:eastAsia="仿宋_GB2312"/>
              </w:rPr>
              <w:t>24小时对接应急、公安、消防等部门，建立快速响应流程。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1、人员资质</w:t>
            </w:r>
          </w:p>
          <w:p>
            <w:pPr>
              <w:pStyle w:val="null3"/>
            </w:pPr>
            <w:r>
              <w:rPr>
                <w:rFonts w:ascii="仿宋_GB2312" w:hAnsi="仿宋_GB2312" w:cs="仿宋_GB2312" w:eastAsia="仿宋_GB2312"/>
              </w:rPr>
              <w:t>①保安人员需持《保安员证》持证率100%；</w:t>
            </w:r>
          </w:p>
          <w:p>
            <w:pPr>
              <w:pStyle w:val="null3"/>
            </w:pPr>
            <w:r>
              <w:rPr>
                <w:rFonts w:ascii="仿宋_GB2312" w:hAnsi="仿宋_GB2312" w:cs="仿宋_GB2312" w:eastAsia="仿宋_GB2312"/>
              </w:rPr>
              <w:t>②保安队伍负责人需具备3年以上保安管理经验，熟悉政府机关保安流程。</w:t>
            </w:r>
          </w:p>
          <w:p>
            <w:pPr>
              <w:pStyle w:val="null3"/>
            </w:pPr>
            <w:r>
              <w:rPr>
                <w:rFonts w:ascii="仿宋_GB2312" w:hAnsi="仿宋_GB2312" w:cs="仿宋_GB2312" w:eastAsia="仿宋_GB2312"/>
              </w:rPr>
              <w:t>2、人员配备</w:t>
            </w:r>
          </w:p>
          <w:p>
            <w:pPr>
              <w:pStyle w:val="null3"/>
              <w:jc w:val="both"/>
            </w:pPr>
            <w:r>
              <w:rPr>
                <w:rFonts w:ascii="仿宋_GB2312" w:hAnsi="仿宋_GB2312" w:cs="仿宋_GB2312" w:eastAsia="仿宋_GB2312"/>
              </w:rPr>
              <w:t>供应商需根据项目实际情况配备相应的保安人员。若遇重大活动或突发事件，供应商须无条件响应采购人要求及时增减保安人员。</w:t>
            </w:r>
          </w:p>
          <w:p>
            <w:pPr>
              <w:pStyle w:val="null3"/>
              <w:jc w:val="both"/>
            </w:pPr>
            <w:r>
              <w:rPr>
                <w:rFonts w:ascii="仿宋_GB2312" w:hAnsi="仿宋_GB2312" w:cs="仿宋_GB2312" w:eastAsia="仿宋_GB2312"/>
              </w:rPr>
              <w:t>3、培训要求</w:t>
            </w:r>
          </w:p>
          <w:p>
            <w:pPr>
              <w:pStyle w:val="null3"/>
              <w:jc w:val="both"/>
            </w:pPr>
            <w:r>
              <w:rPr>
                <w:rFonts w:ascii="仿宋_GB2312" w:hAnsi="仿宋_GB2312" w:cs="仿宋_GB2312" w:eastAsia="仿宋_GB2312"/>
              </w:rPr>
              <w:t>①每月至少开展反恐演练、消防培训、突发事件处置培训；</w:t>
            </w:r>
          </w:p>
          <w:p>
            <w:pPr>
              <w:pStyle w:val="null3"/>
              <w:jc w:val="both"/>
            </w:pPr>
            <w:r>
              <w:rPr>
                <w:rFonts w:ascii="仿宋_GB2312" w:hAnsi="仿宋_GB2312" w:cs="仿宋_GB2312" w:eastAsia="仿宋_GB2312"/>
              </w:rPr>
              <w:t>②提供培训记录、考核结果及演练视频存档。</w:t>
            </w:r>
          </w:p>
          <w:p>
            <w:pPr>
              <w:pStyle w:val="null3"/>
            </w:pPr>
            <w:r>
              <w:rPr>
                <w:rFonts w:ascii="仿宋_GB2312" w:hAnsi="仿宋_GB2312" w:cs="仿宋_GB2312" w:eastAsia="仿宋_GB2312"/>
              </w:rPr>
              <w:t>4、应急预案</w:t>
            </w:r>
          </w:p>
          <w:p>
            <w:pPr>
              <w:pStyle w:val="null3"/>
            </w:pPr>
            <w:r>
              <w:rPr>
                <w:rFonts w:ascii="仿宋_GB2312" w:hAnsi="仿宋_GB2312" w:cs="仿宋_GB2312" w:eastAsia="仿宋_GB2312"/>
              </w:rPr>
              <w:t>①提交《信访维稳保安应急预案》，涵盖群体冲突、暴力事件、公共卫生事件等场景；</w:t>
            </w:r>
          </w:p>
          <w:p>
            <w:pPr>
              <w:pStyle w:val="null3"/>
              <w:spacing w:after="195"/>
            </w:pPr>
            <w:r>
              <w:rPr>
                <w:rFonts w:ascii="仿宋_GB2312" w:hAnsi="仿宋_GB2312" w:cs="仿宋_GB2312" w:eastAsia="仿宋_GB2312"/>
              </w:rPr>
              <w:t>②每季度组织实战演练，由采购人参与验收。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after="195"/>
            </w:pPr>
            <w:r>
              <w:rPr>
                <w:rFonts w:ascii="仿宋_GB2312" w:hAnsi="仿宋_GB2312" w:cs="仿宋_GB2312" w:eastAsia="仿宋_GB2312"/>
              </w:rPr>
              <w:t>本项目最高含税完全综合单价限价300元/人·天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每月由采购人出具的《保安服务考核表》，如遇重大活动或会议需单独提交安全保障方案。符合国家法律法规规定的标准、竞争性磋商文件和成交供应商竞争性磋商响应文件所要求的服务标准。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每月由采购人出具的《保安服务考核表》，如遇重大活动或会议需单独提交安全保障方案。符合国家法律法规规定的标准、竞争性磋商文件和成交供应商竞争性磋商响应文件所要求的服务标准。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对乙方保安服务情况每月进行考核，服务期满后，乙方提交服务报告，并经甲方验收合格后45日内，甲方根据考核结果、出勤人数、出勤次数和合同单价据实结算，若每月考核结果产生扣款，则需扣除相应金额后支付保安服务费</w:t>
      </w:r>
      <w:r>
        <w:rPr>
          <w:rFonts w:ascii="仿宋_GB2312" w:hAnsi="仿宋_GB2312" w:cs="仿宋_GB2312" w:eastAsia="仿宋_GB2312"/>
        </w:rPr>
        <w:t xml:space="preserve"> ，达到付款条件起 </w:t>
      </w:r>
      <w:r>
        <w:rPr>
          <w:rFonts w:ascii="仿宋_GB2312" w:hAnsi="仿宋_GB2312" w:cs="仿宋_GB2312" w:eastAsia="仿宋_GB2312"/>
        </w:rPr>
        <w:t>45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甲方对乙方保安服务情况每月进行考核，服务期满后，乙方提交服务报告，并经甲方验收合格后45日内，甲方根据考核结果、出勤人数、出勤次数和合同单价据实结算，若每月考核结果产生扣款，则需扣除相应金额后支付保安服务费</w:t>
      </w:r>
      <w:r>
        <w:rPr>
          <w:rFonts w:ascii="仿宋_GB2312" w:hAnsi="仿宋_GB2312" w:cs="仿宋_GB2312" w:eastAsia="仿宋_GB2312"/>
        </w:rPr>
        <w:t xml:space="preserve"> ，达到付款条件起 </w:t>
      </w:r>
      <w:r>
        <w:rPr>
          <w:rFonts w:ascii="仿宋_GB2312" w:hAnsi="仿宋_GB2312" w:cs="仿宋_GB2312" w:eastAsia="仿宋_GB2312"/>
        </w:rPr>
        <w:t>45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王经理，029-88825655。 3.4.2本项目专门面向中小企业，供应商应为中型、小型、微型企业或监狱企业或残疾人福利性单位。项目所属行业：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3.4.3落实政府采购政策： 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 ③、《财政部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④、《财政部 国家发展改革委 信息产业部 关于印发无线局域网产品政府采购实施意见的通知》（财库〔2005〕366号）、《国家互联网信息办公室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号）、陕西省财政厅关于印发《陕西省中小企业政府采购信用融资办法》（陕财办采〔2018〕23 号）。 ⑥、国务院办公厅《关于建立政府强制采购节能产品制度的通知》（国办发〔2007〕51号） 《财政部 发展改革委 生态环境部 市场监管总局关于调整优化节能产品、环境标志产品政府采购执行机制的通知》（财库〔2019〕9号）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 3.4.4为保证服务质量，同一供应商可同时参与多个包，但仅允许中一个包。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提供供应商2024年1月至今任意一个月已缴纳的完税凭证或税务机关开具的完税证明（任意税种）（银行出具的缴税凭证或税务机关出具的证明的复印件，并加盖本单位公章）。依法免税的供应商，应提供相应文件证明其依法免税。（3）提供供应商2024年1月至今任意一个月已缴纳的社会保障资金缴存单据或社保机构开具的社会保险参保缴费情况证明，并加盖本单位公章。不需要缴纳社会保障资金的供应商，应提供相应文件证明其不需要缴纳社会保障资金；（4）具备履行合同所必需的设备和专业技术能力的承诺；（5）供应商参加政府采购活动前3年内在经营活动中没有重大违法记录的书面声明。供应商还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提供供应商2024年1月至今任意一个月已缴纳的完税凭证或税务机关开具的完税证明（任意税种）（银行出具的缴税凭证或税务机关出具的证明的复印件，并加盖本单位公章）。依法免税的供应商，应提供相应文件证明其依法免税。（3）提供供应商2024年1月至今任意一个月已缴纳的社会保障资金缴存单据或社保机构开具的社会保险参保缴费情况证明，并加盖本单位公章。不需要缴纳社会保障资金的供应商，应提供相应文件证明其不需要缴纳社会保障资金；（4）具备履行合同所必需的设备和专业技术能力的承诺；（5）供应商参加政府采购活动前3年内在经营活动中没有重大违法记录的书面声明。供应商还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供应商需具有公安部门颁发的保安服务许可证（省外供应商还须提供在西安市公安机关备案登记证）；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供应商需具有公安部门颁发的保安服务许可证（省外供应商还须提供在西安市公安机关备案登记证）；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服务内容及服务邀请应答表 首次磋商报价表1包.docx 中小企业声明函 商务应答表 最终磋商报价表1包.docx 报价表 响应文件封面 政府采购供应商拒绝政府采购领域商业贿赂承诺书.docx 残疾人福利性单位声明函 标的清单 资格证明材料.docx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首次磋商报价表1包.docx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首次磋商报价表1包.docx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报价表 响应文件封面 政府采购供应商拒绝政府采购领域商业贿赂承诺书.docx 残疾人福利性单位声明函 标的清单 资格证明材料.docx 响应函 服务方案.docx 首次磋商报价表2包.docx 最终磋商报价表2包.docx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 首次磋商报价表2包.docx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标的清单 报价表 首次磋商报价表2包.docx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根据本项目服务内容，提供针对本项目的整体管理实施方案（包括但不限于①保安执勤方案②交通疏导方案③其他增值服务方案等）。 方案周到全面、服务起点高、定位明确、针对性强、可实施性较强、能有效保障本项目实施的，计(10-15]分；方案涵盖了本项目所有服务范围、定位明确、可实施性相对较强的，计(5-10]分；方案各项内容一般、阐述条理一般、可实施性略差的，计（0-5]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服务要求，提供针对本项目保安人员配备方案，根据各响应文件中拟投入本项目的专业人员配备及管理情况（综合素质、工作经历、管理制度、管理架构等），人员配置合理、经验丰富，专业性强，计(6-10]分； 人员配置基本满足项目需要、经验较为丰富，计(3-6]分； 人员配置方案一般，经验缺乏，计（0-3]分；未提供不得分。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提供针对本项目保安人员保障方案，包括但不限于对保安人员购买团体意外伤害险、雇主责任险、薪酬发放保障等内容，保障方案考量全面、合理、可操作性强，计(7-10]分； 方案较为详细、可操作性较好，计(3-7]分； 方案笼统合理性一般、可操作性一般，计（0-3]分；未提供不得分。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投入的设备设施</w:t>
            </w:r>
          </w:p>
        </w:tc>
        <w:tc>
          <w:tcPr>
            <w:tcW w:type="dxa" w:w="2492"/>
          </w:tcPr>
          <w:p>
            <w:pPr>
              <w:pStyle w:val="null3"/>
            </w:pPr>
            <w:r>
              <w:rPr>
                <w:rFonts w:ascii="仿宋_GB2312" w:hAnsi="仿宋_GB2312" w:cs="仿宋_GB2312" w:eastAsia="仿宋_GB2312"/>
              </w:rPr>
              <w:t>根据本项目设施设备要求，对拟投入的保安设备、用具品目内容分列详细、配备合理，规格档次满足使用要求；用具表至少包含装备、用具名称、型号、用途、生产厂家、已服役年限等；保安用具保有量足，种类齐全，能够较好完整日常保安工作，完全满足采购要求的计(4-6]分； 有一定数量的保安用具，基本能够保障日常保安工作，基本满足采购要求的计(2-4]分；用品配备不够齐全计（0-2]分；未提供不得分。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提供针对本项目保安人员的培训方案，方案内容包括但不限于反恐演练、消防培训、突发事件处置培训等内容，培训方案考量全面、方式得当、培训目标明确、可操作性强，计(7-10]分；方案较为详细、可操作性较好，计(3-7]分；方案笼统合理性一般、可操作性一般，计（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提供针对本项目的《信访维稳保安应急预案》，涵盖群体冲突、暴力事件、公共卫生事件等场景，确保每季度组织实战演练。方案考量全面、应急措施得当、响应高效、可操作性强，计(8-12]分；方案较为详细、应急措施可操作性较好，计(4-8]分；方案笼统合理性一般、可操作性一般，计（0-4]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完全响应竞争性磋商文件和合同条款的要求，对服务期限内质量、人员到位情况、不能完全履行承诺时接受处罚等情况做出实质性承诺（服务承诺可操作性强、细节描述详细、完整优越计(4-7]分；有相对的操作性、承诺内容良好计(2-4]分；描述内容一般的计（0-2]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提供2022年1月1日至今类似项目业绩，提供1份得2分，满分10分。（以合同签订时间为准，提供合同复印件加盖公章）未提供不得分。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单价报价最低的供应商的价格为磋商基准价，其价格分为满分。其他供应商的价格分统一按照下列公式计算：磋商报价得分=（磋商基准价/最后磋商综合单价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根据本项目服务内容，提供针对本项目的整体管理实施方案（包括但不限于①保安执勤方案②交通疏导方案③其他增值服务方案等）。 方案周到全面、服务起点高、定位明确、针对性强、可实施性较强、能有效保障本项目实施的，计(10-15]分；方案涵盖了本项目所有服务范围、定位明确、可实施性相对较强的，计(5-10]分；方案各项内容一般、阐述条理一般、可实施性略差的，计（0-5]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服务要求，提供针对本项目保安人员配备方案，根据各响应文件中拟投入本项目的专业人员配备及管理情况（综合素质、工作经历、管理制度、管理架构等），人员配置合理、经验丰富，专业性强，计(6-10]分； 人员配置基本满足项目需要、经验较为丰富，计(3-6]分； 人员配置方案一般，经验缺乏，计（0-3]分；未提供不得分。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提供针对本项目保安人员保障方案，包括但不限于对保安人员购买团体意外伤害险、雇主责任险、薪酬发放保障等内容，保障方案考量全面、合理、可操作性强，计(7-10]分； 方案较为详细、可操作性较好，计(3-7]分； 方案笼统合理性一般、可操作性一般，计（0-3]分；未提供不得分。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投入的设备设施</w:t>
            </w:r>
          </w:p>
        </w:tc>
        <w:tc>
          <w:tcPr>
            <w:tcW w:type="dxa" w:w="2492"/>
          </w:tcPr>
          <w:p>
            <w:pPr>
              <w:pStyle w:val="null3"/>
            </w:pPr>
            <w:r>
              <w:rPr>
                <w:rFonts w:ascii="仿宋_GB2312" w:hAnsi="仿宋_GB2312" w:cs="仿宋_GB2312" w:eastAsia="仿宋_GB2312"/>
              </w:rPr>
              <w:t>根据本项目设施设备要求，对拟投入的保安设备、用具品目内容分列详细、配备合理，规格档次满足使用要求；用具表至少包含装备、用具名称、型号、用途、生产厂家、已服役年限等；保安用具保有量足，种类齐全，能够较好完整日常保安工作，完全满足采购要求的计(4-6]分； 有一定数量的保安用具，基本能够保障日常保安工作，基本满足采购要求的计(2-4]分；用品配备不够齐全计（0-2]分；未提供不得分。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提供针对本项目保安人员的培训方案，方案内容包括但不限于反恐演练、消防培训、突发事件处置培训等内容，培训方案考量全面、方式得当、培训目标明确、可操作性强，计(7-10]分；方案较为详细、可操作性较好，计(3-7]分；方案笼统合理性一般、可操作性一般，计（0-3]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提供针对本项目的《信访维稳保安应急预案》，涵盖群体冲突、暴力事件、公共卫生事件等场景，确保每季度组织实战演练。方案考量全面、应急措施得当、响应高效、可操作性强，计(8-12]分；方案较为详细、应急措施可操作性较好，计(4-8]分；方案笼统合理性一般、可操作性一般，计（0-4]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完全响应竞争性磋商文件和合同条款的要求，对服务期限内质量、人员到位情况、不能完全履行承诺时接受处罚等情况做出实质性承诺（服务承诺可操作性强、细节描述详细、完整优越计(4-7]分；有相对的操作性、承诺内容良好计(2-4]分；描述内容一般的计（0-2]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提供2022年1月1日至今类似项目业绩，提供1份得2分，满分10分。（以合同签订时间为准，提供合同复印件加盖公章）未提供不得分。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单价报价最低的供应商的价格为磋商基准价，其价格分为满分。其他供应商的价格分统一按照下列公式计算：磋商报价得分=（磋商基准价/最后磋商综合单价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详见附件：首次磋商报价表1包.docx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详见附件：最终磋商报价表1包.docx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详见附件：首次磋商报价表2包.docx</w:t>
      </w:r>
    </w:p>
    <w:p>
      <w:pPr>
        <w:pStyle w:val="null3"/>
        <w:ind w:firstLine="960"/>
      </w:pPr>
      <w:r>
        <w:rPr>
          <w:rFonts w:ascii="仿宋_GB2312" w:hAnsi="仿宋_GB2312" w:cs="仿宋_GB2312" w:eastAsia="仿宋_GB2312"/>
        </w:rPr>
        <w:t>详见附件：最终磋商报价表2包.docx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详见附件：合同-2025年全区信访维稳安全保障保安服务第1包、2025年全区信访维稳安全保障保安服务第2包.docx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