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版本号：CGZC-2025-068（ZR20GN2025-CS-037）20250711001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固定资产盘点服务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CGZC-2025-068（ZR20GN2025-CS-037）</w:t>
      </w:r>
      <w:r>
        <w:br/>
      </w:r>
      <w:r>
        <w:br/>
      </w:r>
      <w:r>
        <w:br/>
      </w:r>
    </w:p>
    <w:p>
      <w:pPr>
        <w:pStyle w:val="null3"/>
        <w:jc w:val="center"/>
        <w:outlineLvl w:val="2"/>
      </w:pPr>
      <w:r>
        <w:rPr>
          <w:rFonts w:ascii="仿宋_GB2312" w:hAnsi="仿宋_GB2312" w:cs="仿宋_GB2312" w:eastAsia="仿宋_GB2312"/>
          <w:sz w:val="28"/>
          <w:b/>
        </w:rPr>
        <w:t>西安浐灞国际港党政办公室</w:t>
      </w:r>
    </w:p>
    <w:p>
      <w:pPr>
        <w:pStyle w:val="null3"/>
        <w:jc w:val="center"/>
        <w:outlineLvl w:val="2"/>
      </w:pPr>
      <w:r>
        <w:rPr>
          <w:rFonts w:ascii="仿宋_GB2312" w:hAnsi="仿宋_GB2312" w:cs="仿宋_GB2312" w:eastAsia="仿宋_GB2312"/>
          <w:sz w:val="28"/>
          <w:b/>
        </w:rPr>
        <w:t>陕西中润国际招标有限公司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陕西中润国际招标有限公司</w:t>
      </w:r>
      <w:r>
        <w:rPr>
          <w:rFonts w:ascii="仿宋_GB2312" w:hAnsi="仿宋_GB2312" w:cs="仿宋_GB2312" w:eastAsia="仿宋_GB2312"/>
        </w:rPr>
        <w:t>（以下简称“代理机构”）受</w:t>
      </w:r>
      <w:r>
        <w:rPr>
          <w:rFonts w:ascii="仿宋_GB2312" w:hAnsi="仿宋_GB2312" w:cs="仿宋_GB2312" w:eastAsia="仿宋_GB2312"/>
        </w:rPr>
        <w:t>西安浐灞国际港党政办公室</w:t>
      </w:r>
      <w:r>
        <w:rPr>
          <w:rFonts w:ascii="仿宋_GB2312" w:hAnsi="仿宋_GB2312" w:cs="仿宋_GB2312" w:eastAsia="仿宋_GB2312"/>
        </w:rPr>
        <w:t>委托，拟对</w:t>
      </w:r>
      <w:r>
        <w:rPr>
          <w:rFonts w:ascii="仿宋_GB2312" w:hAnsi="仿宋_GB2312" w:cs="仿宋_GB2312" w:eastAsia="仿宋_GB2312"/>
        </w:rPr>
        <w:t>固定资产盘点服务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CGZC-2025-068（ZR20GN2025-CS-037）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固定资产盘点服务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采购固定资产盘点服务。按照固定资产管理办法相关要求，需要进行浐灞国际港管委会2025年度固定资产盘点。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采购包1（固定资产盘点服务）：属于专门面向中小企业采购。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或单位负责人参加磋商的，应提供法定代表人或单位负责人身份证明。授权代表参加磋商的，应提供法定代表人或单位负责人身份证明、授权委托书及授权代表在本单位的社保缴纳证明；</w:t>
      </w:r>
    </w:p>
    <w:p>
      <w:pPr>
        <w:pStyle w:val="null3"/>
      </w:pPr>
      <w:r>
        <w:rPr>
          <w:rFonts w:ascii="仿宋_GB2312" w:hAnsi="仿宋_GB2312" w:cs="仿宋_GB2312" w:eastAsia="仿宋_GB2312"/>
        </w:rPr>
        <w:t>2、信用记录：供应商在递交竞争性磋商响应文件截止时间前被“信用中国”网站（www.creditchina.gov.cn）和中国政府采购网（www.ccgp.gov.cn）上被列入失信被执行人、重大税收违法失信主体、政府采购严重违法失信行为记录名单的，不得参加磋商；</w:t>
      </w:r>
    </w:p>
    <w:p>
      <w:pPr>
        <w:pStyle w:val="null3"/>
      </w:pPr>
      <w:r>
        <w:rPr>
          <w:rFonts w:ascii="仿宋_GB2312" w:hAnsi="仿宋_GB2312" w:cs="仿宋_GB2312" w:eastAsia="仿宋_GB2312"/>
        </w:rPr>
        <w:t>3、联合体：本项目不接受联合体竞争性磋商。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西安浐灞国际港党政办公室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西安市浐灞国际港港务大道6号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029-83346989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陕西中润国际招标有限公司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西安市高新区唐延路1号旺座国际城A座12楼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张经理、王经理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029-88825655 邮箱：zhongrun@sxzrzb.com</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西安浐灞国际港财政金融局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袁老师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029-83521198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代理服务费收费标准：1、成交单位在领取成交通知书前，须向采购代理机构支付服务费。 2、服务费由采购人与采购代理机构约定：参照《国家计委关于印发&lt;招标代理服务收费管理暂行办法&gt;的通知》（计价格[2002]1980号）和《关于招标代理服务收费有关问题的通知》（发改办价格『2003』857号）规定按标准收取，若按照标准收取不足6000元，按6000元计取。3、成交单位的代理服务费交纳信息 银行户名：陕西中润国际招标有限公司 开户银行：中信银行西安雁塔西路支行 账 号：7251310182600086350 联 系 人：李帆 联系电话：029-87321229</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西安浐灞国际港党政办公室</w:t>
      </w:r>
      <w:r>
        <w:rPr>
          <w:rFonts w:ascii="仿宋_GB2312" w:hAnsi="仿宋_GB2312" w:cs="仿宋_GB2312" w:eastAsia="仿宋_GB2312"/>
        </w:rPr>
        <w:t>和</w:t>
      </w:r>
      <w:r>
        <w:rPr>
          <w:rFonts w:ascii="仿宋_GB2312" w:hAnsi="仿宋_GB2312" w:cs="仿宋_GB2312" w:eastAsia="仿宋_GB2312"/>
        </w:rPr>
        <w:t>陕西中润国际招标有限公司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西安浐灞国际港党政办公室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陕西中润国际招标有限公司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西安浐灞国际港党政办公室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陕西中润国际招标有限公司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符合国家法律法规规定的标准、竞争性磋商文件和成交供应商竞争性磋商响应文件所要求的技术标准。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陕西中润国际招标有限公司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陕西中润国际招标有限公司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陕西中润国际招标有限公司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联系人：张经理 王经理</w:t>
      </w:r>
    </w:p>
    <w:p>
      <w:pPr>
        <w:pStyle w:val="null3"/>
      </w:pPr>
      <w:r>
        <w:rPr>
          <w:rFonts w:ascii="仿宋_GB2312" w:hAnsi="仿宋_GB2312" w:cs="仿宋_GB2312" w:eastAsia="仿宋_GB2312"/>
        </w:rPr>
        <w:t>联系电话：029-88825655</w:t>
      </w:r>
    </w:p>
    <w:p>
      <w:pPr>
        <w:pStyle w:val="null3"/>
      </w:pPr>
      <w:r>
        <w:rPr>
          <w:rFonts w:ascii="仿宋_GB2312" w:hAnsi="仿宋_GB2312" w:cs="仿宋_GB2312" w:eastAsia="仿宋_GB2312"/>
        </w:rPr>
        <w:t>地址：西安市高新区唐延路1号旺座国际城A座12楼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采购固定资产盘点服务。按照固定资产管理办法相关要求，需要进行浐灞国际港管委会2025年度固定资产盘点。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850,000.00</w:t>
      </w:r>
    </w:p>
    <w:p>
      <w:pPr>
        <w:pStyle w:val="null3"/>
      </w:pPr>
      <w:r>
        <w:rPr>
          <w:rFonts w:ascii="仿宋_GB2312" w:hAnsi="仿宋_GB2312" w:cs="仿宋_GB2312" w:eastAsia="仿宋_GB2312"/>
        </w:rPr>
        <w:t>采购包最高限价（元）: 850,000.00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固定资产盘点服务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标的名称：固定资产盘点服务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服务内容</w:t>
            </w:r>
          </w:p>
          <w:p>
            <w:pPr>
              <w:pStyle w:val="null3"/>
              <w:jc w:val="both"/>
            </w:pPr>
            <w:r>
              <w:rPr>
                <w:rFonts w:ascii="仿宋_GB2312" w:hAnsi="仿宋_GB2312" w:cs="仿宋_GB2312" w:eastAsia="仿宋_GB2312"/>
              </w:rPr>
              <w:t>对浐灞国际港管委会所管辖的固定资产进行盘点清查，随后出具固定资产清查报告。</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服务要求</w:t>
            </w:r>
          </w:p>
          <w:p>
            <w:pPr>
              <w:pStyle w:val="null3"/>
              <w:jc w:val="both"/>
            </w:pPr>
            <w:r>
              <w:rPr>
                <w:rFonts w:ascii="仿宋_GB2312" w:hAnsi="仿宋_GB2312" w:cs="仿宋_GB2312" w:eastAsia="仿宋_GB2312"/>
              </w:rPr>
              <w:t>1.制作并粘贴资产标签</w:t>
            </w:r>
          </w:p>
          <w:p>
            <w:pPr>
              <w:pStyle w:val="null3"/>
              <w:jc w:val="both"/>
            </w:pPr>
            <w:r>
              <w:rPr>
                <w:rFonts w:ascii="仿宋_GB2312" w:hAnsi="仿宋_GB2312" w:cs="仿宋_GB2312" w:eastAsia="仿宋_GB2312"/>
              </w:rPr>
              <w:t>2.资产实物需全部规范化清点，建立各部门资产实物台账，并按照部门梳理部门资产管理台账，完成部门资产签字确认工作。</w:t>
            </w:r>
          </w:p>
          <w:p>
            <w:pPr>
              <w:pStyle w:val="null3"/>
              <w:jc w:val="both"/>
            </w:pPr>
            <w:r>
              <w:rPr>
                <w:rFonts w:ascii="仿宋_GB2312" w:hAnsi="仿宋_GB2312" w:cs="仿宋_GB2312" w:eastAsia="仿宋_GB2312"/>
              </w:rPr>
              <w:t>3.明确梳理出待处置资产明细，并针对待处置资产整理报批所需材料，协助采购人办理处置手续。</w:t>
            </w:r>
          </w:p>
          <w:p>
            <w:pPr>
              <w:pStyle w:val="null3"/>
              <w:jc w:val="both"/>
            </w:pPr>
            <w:r>
              <w:rPr>
                <w:rFonts w:ascii="仿宋_GB2312" w:hAnsi="仿宋_GB2312" w:cs="仿宋_GB2312" w:eastAsia="仿宋_GB2312"/>
              </w:rPr>
              <w:t>4.根据采购人资产管理现状，梳理贴合实际情况的资产管理制度。</w:t>
            </w:r>
          </w:p>
          <w:p>
            <w:pPr>
              <w:pStyle w:val="null3"/>
              <w:jc w:val="both"/>
            </w:pPr>
            <w:r>
              <w:rPr>
                <w:rFonts w:ascii="仿宋_GB2312" w:hAnsi="仿宋_GB2312" w:cs="仿宋_GB2312" w:eastAsia="仿宋_GB2312"/>
              </w:rPr>
              <w:t>5.配合采购人完成资产管理方面合理范围内业务需求。</w:t>
            </w:r>
          </w:p>
          <w:p>
            <w:pPr>
              <w:pStyle w:val="null3"/>
              <w:jc w:val="both"/>
            </w:pPr>
            <w:r>
              <w:rPr>
                <w:rFonts w:ascii="仿宋_GB2312" w:hAnsi="仿宋_GB2312" w:cs="仿宋_GB2312" w:eastAsia="仿宋_GB2312"/>
              </w:rPr>
              <w:t>6、出具完善的固定资产清查报告，报告将包括资产数量、价值、分布等基本情况，以及资产管理中的问题和改进措施等内容。报告一式3份，按采购人要求装订成册（含电子版）。</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rPr>
              <w:t>服务期</w:t>
            </w:r>
          </w:p>
          <w:p>
            <w:pPr>
              <w:pStyle w:val="null3"/>
              <w:jc w:val="both"/>
            </w:pPr>
            <w:r>
              <w:rPr>
                <w:rFonts w:ascii="仿宋_GB2312" w:hAnsi="仿宋_GB2312" w:cs="仿宋_GB2312" w:eastAsia="仿宋_GB2312"/>
              </w:rPr>
              <w:t>自合同签订之日起至盘点工作完成</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1、为保证项目服务质量和时效性，供应商应派出足够数量的业务骨干，并在磋商响应文件中提供拟派遣人员姓名、身份证号、相关证书（如果有）等。</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符合本项目的相关设备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供应商在实施服务中，应符合《中华人民共和国企业国有资产法》、《企业国有资产监督管理暂行条例》、《企业会计准则》以及金融监管部门有关规章制度的要求。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自合同签订之日起至盘点工作完成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验收标准：符合国家行业地方验收标准。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固定资产清查完成，且乙方提交经甲方验收合格的固定资产清查报告后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 按《中华人民共和国民法典》中的相关条款和本合同的约定执行。 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 3.如乙方事先未征得甲方同意单方面延迟交付工作成果，每延误一天的赔偿费按迟延交付成果或未提供服务的服务费用的百分之零点五(0.5％)计收，直至交货或提供服务为止。甲方有权在支付合同款项时扣除迟延交付违约金。迟延交付超过30日的，甲方有权单方解除合同且有权要求乙方根据前述承担违约责任。 4、乙方未按合同要求提供工作成果或其质量不能满足甲方相关要求的，甲方有权单方解除合同且有权要求乙方按照合同总额的10％向甲方承担违约责任。 解决争议的方法 在执行本合同中发生的或与本合同有关的争端，双方应通过友好协商解决，协商达不成一致时，双方均有权向甲方所在地有管辖权的人民法院提起诉讼。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成交供应商在领取成交通知书前须无偿为采购人提供盖章齐全的纸质版投标文件三套，正本1套，副本2套，纸质版应与电子投标文件保持一致。正本应为彩色打印件，副本可采用正本的复印件。纸质版文件与电子投标文件不一致由此造成的一切责任及后果由供应商自行承担。纸质版投标文件递交地址：西安市高新区唐延路1号旺座国际城座A座12楼，张经理、王经理，029-88825655。 3.4.2本项目专门面向中小企业，供应商应为中型、小型、微型企业或监狱企业或残疾人福利性单位。项目所属行业：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 3.4.3落实政府采购政策： ①、《关于进一步加大政府采购支持中小企业力度的通知》（财库〔2022〕19号）、《政府采购促进中小企业发展管理办法》（财库〔2020〕46号）、《关于政府采购支持监狱企业发展有关问题的通知》（财库〔2014〕68号）、《关于促进残疾人就业政府采购政策的通知》（财库〔2017〕141号）。 ②、财政部、国家发展改革委《关于印发〈节能产品政府采购实施意见〉的通知》（财库〔2004〕185号）、财政部、国家环保总局联合印发《关于环境标志产品政府采购实施的意见》（财库〔2006〕90号）、国务院办公厅《关于建立政府强制采购节能产品制度的通知》（国办发〔2007〕51号）。 ③、《财政部 农业农村部 国家乡村振兴局关于运用政府采购政策支持乡村产业振兴的通知》（财库〔2021〕19号）、《财政部农业农村部国家乡村振兴局 中华全国供销合作总社关于印发&lt;关于深入开展政府采购脱贫地区农副产品工作推进乡村产业振兴的实施意见&gt;的通知》（财库〔2021〕20号）。 ④、《财政部 国家发展改革委 信息产业部 关于印发无线局域网产品政府采购实施意见的通知》（财库〔2005〕366号）、《国家互联网信息办公室 工业和信息化部 公安部 财政部 国家认证认可监督管理委员会关于调整网络安全专用产品安全管理有关事项的公告》（2023年第1号）。 ⑤、《陕西省财政厅关于加快推进我省中小企业政府采购信用融资工作的通知》（陕财办采〔2020〕15 号）、陕西省财政厅关于印发《陕西省中小企业政府采购信用融资办法》（陕财办采〔2018〕23 号）。 ⑥、国务院办公厅《关于建立政府强制采购节能产品制度的通知》（国办发〔2007〕51号） 《财政部 发展改革委 生态环境部 市场监管总局关于调整优化节能产品、环境标志产品政府采购执行机制的通知》（财库〔2019〕9号） 《关于印发环境标志产品政府采购品目清单的通知》（财库〔2019〕18号） 《关于印发节能产品政府采购品目清单的通知》（财库〔2019〕19号） 陕西省财政厅《关于进一步加强政府绿色采购有关问题的通知》（陕财办采〔2021〕29号） 《政府采购支持绿色建材促进建筑品质提升政策项目实施指南》的通知(财库〔2023〕52号)及《关于扩大政府采购支持绿色建材促进建筑品质提升政策实施范围的通知》(财库〔2022〕35号) 若享受以上政策优惠的企业，提供相应声明函或品目清单范围内产品的有效认证证书。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合法注册的法人或其他组织的营业执照等证明文件，自然人的身份证明；（2）提供供应商2024年1月至今任意一个月已缴纳的完税凭证或税务机关开具的完税证明（任意税种）（银行出具的缴税凭证或税务机关出具的证明的复印件，并加盖本单位公章）。依法免税的供应商，应提供相应文件证明其依法免税。（3）提供供应商2024年1月至今任意一个月已缴纳的社会保障资金缴存单据或社保机构开具的社会保险参保缴费情况证明，并加盖本单位公章。不需要缴纳社会保障资金的供应商，应提供相应文件证明其不需要缴纳社会保障资金；（4）具备履行合同所必需的设备和专业技术能力的承诺；（5）供应商参加政府采购活动前3年内在经营活动中没有重大违法记录的书面声明。供应商还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2024年度的财务报告或提交响应文件截止时间前三个月内其基本账户开户银行出具的资信证明（附开户许可证或开户备案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法定代表人或单位负责人参加磋商的，应提供法定代表人或单位负责人身份证明。授权代表参加磋商的，应提供法定代表人或单位负责人身份证明、授权委托书及授权代表在本单位的社保缴纳证明；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在递交竞争性磋商响应文件截止时间前被“信用中国”网站（www.creditchina.gov.cn）和中国政府采购网（www.ccgp.gov.cn）上被列入失信被执行人、重大税收违法失信主体、政府采购严重违法失信行为记录名单的，不得参加磋商；</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本项目不接受联合体竞争性磋商。</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业绩一览表.docx 服务内容及服务邀请应答表 中小企业声明函 商务应答表 报价表 响应文件封面 政府采购供应商拒绝政府采购领域商业贿赂承诺书.docx 残疾人福利性单位声明函 首次磋商报价表及分项报价表.docx 标的清单 资格证明材料.docx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首次磋商报价表及分项报价表.docx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磋商响应文件有效期</w:t>
            </w:r>
          </w:p>
        </w:tc>
        <w:tc>
          <w:tcPr>
            <w:tcW w:type="dxa" w:w="3322"/>
          </w:tcPr>
          <w:p>
            <w:pPr>
              <w:pStyle w:val="null3"/>
            </w:pPr>
            <w:r>
              <w:rPr>
                <w:rFonts w:ascii="仿宋_GB2312" w:hAnsi="仿宋_GB2312" w:cs="仿宋_GB2312" w:eastAsia="仿宋_GB2312"/>
              </w:rPr>
              <w:t>有效期应符合磋商文件要求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供应商针对同一服务未递交两份或多份内容不同的响应文件，未出现选择性报价，且报价不超过预算金额或最高限价。</w:t>
            </w:r>
          </w:p>
        </w:tc>
        <w:tc>
          <w:tcPr>
            <w:tcW w:type="dxa" w:w="1661"/>
          </w:tcPr>
          <w:p>
            <w:pPr>
              <w:pStyle w:val="null3"/>
            </w:pPr>
            <w:r>
              <w:rPr>
                <w:rFonts w:ascii="仿宋_GB2312" w:hAnsi="仿宋_GB2312" w:cs="仿宋_GB2312" w:eastAsia="仿宋_GB2312"/>
              </w:rPr>
              <w:t>首次磋商报价表及分项报价表.docx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应符合磋商文件规定的其他实质性要求</w:t>
            </w:r>
          </w:p>
        </w:tc>
        <w:tc>
          <w:tcPr>
            <w:tcW w:type="dxa" w:w="1661"/>
          </w:tcPr>
          <w:p>
            <w:pPr>
              <w:pStyle w:val="null3"/>
            </w:pPr>
            <w:r>
              <w:rPr>
                <w:rFonts w:ascii="仿宋_GB2312" w:hAnsi="仿宋_GB2312" w:cs="仿宋_GB2312" w:eastAsia="仿宋_GB2312"/>
              </w:rPr>
              <w:t>服务内容及服务邀请应答表 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项目概况</w:t>
            </w:r>
          </w:p>
        </w:tc>
        <w:tc>
          <w:tcPr>
            <w:tcW w:type="dxa" w:w="2492"/>
          </w:tcPr>
          <w:p>
            <w:pPr>
              <w:pStyle w:val="null3"/>
            </w:pPr>
            <w:r>
              <w:rPr>
                <w:rFonts w:ascii="仿宋_GB2312" w:hAnsi="仿宋_GB2312" w:cs="仿宋_GB2312" w:eastAsia="仿宋_GB2312"/>
              </w:rPr>
              <w:t>针对本项目提供的背景了解和现状理解，内容全面详细、目标明确、科学合理且完全符合本项目采购要求得（7-10]分;内容较全面详细、目标较明确、较合理且能符合本项目采购要求，得（3-7]分；内容一般、合理性略差的得（0-3]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针对本项目提供的整体服务方案，包括1.服务目标；2.项目重点、难点把控；3.服务标准化实施内容。 内容全面详细、目标明确、科学合理且完全符合本项目采购要求得(7-10]分；内容较全面、目标较明确、科学合理且能符合本项目采购要求得(3-7]分；内容明显错误、内容表述前后矛盾、内容不完整、表达简单笼统得(0-3]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项目实施进度计划</w:t>
            </w:r>
          </w:p>
        </w:tc>
        <w:tc>
          <w:tcPr>
            <w:tcW w:type="dxa" w:w="2492"/>
          </w:tcPr>
          <w:p>
            <w:pPr>
              <w:pStyle w:val="null3"/>
            </w:pPr>
            <w:r>
              <w:rPr>
                <w:rFonts w:ascii="仿宋_GB2312" w:hAnsi="仿宋_GB2312" w:cs="仿宋_GB2312" w:eastAsia="仿宋_GB2312"/>
              </w:rPr>
              <w:t>针对本项目提供合理、可行的项目进度计划，要求进度计划满足采购人提出的项目进度要求，且各工作流程、时间节点清晰，控制措施合理。进度计划及措施编制科学合理、完善详尽，可行性强的得(7-10]分；进度计划及措施编制基本合理可行的得(3-7]分；进度计划及措施编制可实施性略差的得（0-3]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团队配备方案</w:t>
            </w:r>
          </w:p>
        </w:tc>
        <w:tc>
          <w:tcPr>
            <w:tcW w:type="dxa" w:w="2492"/>
          </w:tcPr>
          <w:p>
            <w:pPr>
              <w:pStyle w:val="null3"/>
            </w:pPr>
            <w:r>
              <w:rPr>
                <w:rFonts w:ascii="仿宋_GB2312" w:hAnsi="仿宋_GB2312" w:cs="仿宋_GB2312" w:eastAsia="仿宋_GB2312"/>
              </w:rPr>
              <w:t>针对本项目有专业的服务团队，团队组织结构合理，配备齐全。人员配备设置合理，管理及专业人员配备齐全、分工明确、职责清晰得(7-10]分；人员配备设置较合理，管理及专业人员配备齐全、分工及岗位职责较清晰得(3-7]分；人员配备设置基本合理，管理及专业人员分工及岗位职责不清晰得（0-3]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相关证书</w:t>
            </w:r>
          </w:p>
        </w:tc>
        <w:tc>
          <w:tcPr>
            <w:tcW w:type="dxa" w:w="2492"/>
          </w:tcPr>
          <w:p>
            <w:pPr>
              <w:pStyle w:val="null3"/>
            </w:pPr>
            <w:r>
              <w:rPr>
                <w:rFonts w:ascii="仿宋_GB2312" w:hAnsi="仿宋_GB2312" w:cs="仿宋_GB2312" w:eastAsia="仿宋_GB2312"/>
              </w:rPr>
              <w:t>项目组负责人需具备会计相关专业职称（提供相应的资格证及2024年1月以来拟派人员在本单位缴纳任意一个月社保缴纳证明或劳动合同，未提供或有遗漏的不计入相应分值）</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关键点重、难点分析</w:t>
            </w:r>
          </w:p>
        </w:tc>
        <w:tc>
          <w:tcPr>
            <w:tcW w:type="dxa" w:w="2492"/>
          </w:tcPr>
          <w:p>
            <w:pPr>
              <w:pStyle w:val="null3"/>
            </w:pPr>
            <w:r>
              <w:rPr>
                <w:rFonts w:ascii="仿宋_GB2312" w:hAnsi="仿宋_GB2312" w:cs="仿宋_GB2312" w:eastAsia="仿宋_GB2312"/>
              </w:rPr>
              <w:t>根据项目具体情况提出的关键点、难点、重点进行分析并提出控制措施。分析内容准确，控制措施合理得（7-10]分；分析内容比较准确，控制措施比较合理得（3-7]分；分析内容基本准确，控制措施基本合理得（0-3]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具有针对本项目的应急预案，包括但不限于以下内容：1.突发事件应急处理能力；2.资源调配能力方案。以上内容全面详细、阐述条理清晰详尽、可行性强且完全符合本项目采购需求得（6-9]分；内容较全面、可行性较强且能符合本项目采购需求得（3-6]分；方案笼统、不具备可行性得（0-3]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有利于本项目工作顺利进行的合理化建议详细、合理，针对性强、全面、目标明确得（6-8]分。内容较全面、可行性较强且能符合本项目采购需求得（3-6]分；合理化建议笼统、不具备可行性得（0-3]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保密、廉洁措施</w:t>
            </w:r>
          </w:p>
        </w:tc>
        <w:tc>
          <w:tcPr>
            <w:tcW w:type="dxa" w:w="2492"/>
          </w:tcPr>
          <w:p>
            <w:pPr>
              <w:pStyle w:val="null3"/>
            </w:pPr>
            <w:r>
              <w:rPr>
                <w:rFonts w:ascii="仿宋_GB2312" w:hAnsi="仿宋_GB2312" w:cs="仿宋_GB2312" w:eastAsia="仿宋_GB2312"/>
              </w:rPr>
              <w:t>具有针对本项目的保密措施、廉洁措施或承诺。措施全面、合理、规范，可操作性强得（5-8]分；措施相对合理和规范，有相对较强的可操作性得（2-5]分；措施不太合理，可操作性不强得（0-2]分；未提供不得分。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提供2022年1月1日至今类似项目业绩，提供1份得2分，满分10分。（以合同签订时间为准，提供合同复印件加盖公章）未提供不得分。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详见附件：首次磋商报价表及分项报价表.docx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详见附件：拟签订合同文本--固定资产盘点服务.docx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