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AF3C6">
      <w:pPr>
        <w:keepNext w:val="0"/>
        <w:keepLines w:val="0"/>
        <w:pageBreakBefore w:val="0"/>
        <w:widowControl/>
        <w:tabs>
          <w:tab w:val="left" w:pos="735"/>
        </w:tabs>
        <w:kinsoku/>
        <w:wordWrap/>
        <w:overflowPunct/>
        <w:topLinePunct w:val="0"/>
        <w:autoSpaceDE w:val="0"/>
        <w:autoSpaceDN w:val="0"/>
        <w:bidi w:val="0"/>
        <w:adjustRightInd w:val="0"/>
        <w:snapToGrid w:val="0"/>
        <w:spacing w:after="0" w:line="360" w:lineRule="auto"/>
        <w:ind w:right="0"/>
        <w:rPr>
          <w:rFonts w:hint="eastAsia" w:ascii="仿宋" w:hAnsi="仿宋" w:eastAsia="仿宋" w:cs="仿宋"/>
          <w:b/>
          <w:bCs/>
          <w:sz w:val="24"/>
          <w:highlight w:val="none"/>
          <w:lang w:val="zh-CN"/>
        </w:rPr>
      </w:pPr>
    </w:p>
    <w:p w14:paraId="0EFFFFE0">
      <w:pPr>
        <w:keepNext w:val="0"/>
        <w:keepLines w:val="0"/>
        <w:pageBreakBefore w:val="0"/>
        <w:widowControl/>
        <w:tabs>
          <w:tab w:val="left" w:pos="735"/>
        </w:tabs>
        <w:kinsoku/>
        <w:wordWrap/>
        <w:overflowPunct/>
        <w:topLinePunct w:val="0"/>
        <w:autoSpaceDE w:val="0"/>
        <w:autoSpaceDN w:val="0"/>
        <w:bidi w:val="0"/>
        <w:adjustRightInd w:val="0"/>
        <w:snapToGrid w:val="0"/>
        <w:spacing w:after="0" w:line="360" w:lineRule="auto"/>
        <w:ind w:right="0"/>
        <w:rPr>
          <w:rFonts w:hint="eastAsia" w:ascii="仿宋" w:hAnsi="仿宋" w:eastAsia="仿宋" w:cs="仿宋"/>
          <w:b/>
          <w:bCs/>
          <w:sz w:val="24"/>
          <w:highlight w:val="none"/>
          <w:lang w:val="zh-CN"/>
        </w:rPr>
      </w:pPr>
      <w:r>
        <w:rPr>
          <w:rFonts w:hint="eastAsia" w:ascii="仿宋" w:hAnsi="仿宋" w:eastAsia="仿宋" w:cs="仿宋"/>
          <w:b/>
          <w:bCs/>
          <w:sz w:val="24"/>
          <w:highlight w:val="none"/>
          <w:lang w:val="zh-CN"/>
        </w:rPr>
        <w:t>甲方：</w:t>
      </w:r>
      <w:r>
        <w:rPr>
          <w:rFonts w:hint="eastAsia" w:ascii="仿宋" w:hAnsi="仿宋" w:eastAsia="仿宋" w:cs="仿宋"/>
          <w:bCs/>
          <w:sz w:val="24"/>
          <w:highlight w:val="none"/>
          <w:lang w:val="zh-CN"/>
        </w:rPr>
        <w:t xml:space="preserve">（前款所称采购人）     </w:t>
      </w:r>
      <w:r>
        <w:rPr>
          <w:rFonts w:hint="eastAsia" w:ascii="仿宋" w:hAnsi="仿宋" w:eastAsia="仿宋" w:cs="仿宋"/>
          <w:bCs/>
          <w:sz w:val="24"/>
          <w:highlight w:val="none"/>
        </w:rPr>
        <w:t xml:space="preserve">    </w:t>
      </w:r>
      <w:r>
        <w:rPr>
          <w:rFonts w:hint="eastAsia" w:ascii="仿宋" w:hAnsi="仿宋" w:eastAsia="仿宋" w:cs="仿宋"/>
          <w:bCs/>
          <w:sz w:val="24"/>
          <w:highlight w:val="none"/>
          <w:lang w:val="zh-CN"/>
        </w:rPr>
        <w:t>住所：</w:t>
      </w:r>
    </w:p>
    <w:p w14:paraId="2BC85EA5">
      <w:pPr>
        <w:keepNext w:val="0"/>
        <w:keepLines w:val="0"/>
        <w:pageBreakBefore w:val="0"/>
        <w:widowControl/>
        <w:tabs>
          <w:tab w:val="left" w:pos="735"/>
        </w:tabs>
        <w:kinsoku/>
        <w:wordWrap/>
        <w:overflowPunct/>
        <w:topLinePunct w:val="0"/>
        <w:autoSpaceDE w:val="0"/>
        <w:autoSpaceDN w:val="0"/>
        <w:bidi w:val="0"/>
        <w:adjustRightInd w:val="0"/>
        <w:snapToGrid w:val="0"/>
        <w:spacing w:after="0" w:line="360" w:lineRule="auto"/>
        <w:ind w:right="0"/>
        <w:rPr>
          <w:rFonts w:hint="eastAsia" w:ascii="仿宋" w:hAnsi="仿宋" w:eastAsia="仿宋" w:cs="仿宋"/>
          <w:bCs/>
          <w:sz w:val="24"/>
          <w:highlight w:val="none"/>
          <w:lang w:val="zh-CN"/>
        </w:rPr>
      </w:pPr>
      <w:r>
        <w:rPr>
          <w:rFonts w:hint="eastAsia" w:ascii="仿宋" w:hAnsi="仿宋" w:eastAsia="仿宋" w:cs="仿宋"/>
          <w:b/>
          <w:bCs/>
          <w:sz w:val="24"/>
          <w:highlight w:val="none"/>
          <w:lang w:val="zh-CN"/>
        </w:rPr>
        <w:t>乙方：</w:t>
      </w:r>
      <w:r>
        <w:rPr>
          <w:rFonts w:hint="eastAsia" w:ascii="仿宋" w:hAnsi="仿宋" w:eastAsia="仿宋" w:cs="仿宋"/>
          <w:bCs/>
          <w:sz w:val="24"/>
          <w:highlight w:val="none"/>
          <w:lang w:val="zh-CN"/>
        </w:rPr>
        <w:t>（前款所称</w:t>
      </w:r>
      <w:r>
        <w:rPr>
          <w:rFonts w:hint="eastAsia" w:ascii="仿宋" w:hAnsi="仿宋" w:eastAsia="仿宋" w:cs="仿宋"/>
          <w:bCs/>
          <w:sz w:val="24"/>
          <w:highlight w:val="none"/>
        </w:rPr>
        <w:t>成交供应商</w:t>
      </w:r>
      <w:r>
        <w:rPr>
          <w:rFonts w:hint="eastAsia" w:ascii="仿宋" w:hAnsi="仿宋" w:eastAsia="仿宋" w:cs="仿宋"/>
          <w:bCs/>
          <w:sz w:val="24"/>
          <w:highlight w:val="none"/>
          <w:lang w:val="zh-CN"/>
        </w:rPr>
        <w:t>）     住所：</w:t>
      </w:r>
    </w:p>
    <w:p w14:paraId="7388B16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0" w:name="_Toc19515384"/>
      <w:r>
        <w:rPr>
          <w:rFonts w:hint="eastAsia" w:ascii="仿宋" w:hAnsi="仿宋" w:eastAsia="仿宋" w:cs="仿宋"/>
          <w:sz w:val="24"/>
          <w:highlight w:val="none"/>
        </w:rPr>
        <w:t>一、合同内容（标的、数量、质量等）</w:t>
      </w:r>
      <w:bookmarkEnd w:id="0"/>
      <w:r>
        <w:rPr>
          <w:rFonts w:hint="eastAsia" w:ascii="仿宋" w:hAnsi="仿宋" w:eastAsia="仿宋" w:cs="仿宋"/>
          <w:sz w:val="24"/>
          <w:highlight w:val="none"/>
        </w:rPr>
        <w:t>：</w:t>
      </w:r>
    </w:p>
    <w:p w14:paraId="2DC08773">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1" w:name="_Toc19515385"/>
      <w:r>
        <w:rPr>
          <w:rFonts w:hint="eastAsia" w:ascii="仿宋" w:hAnsi="仿宋" w:eastAsia="仿宋" w:cs="仿宋"/>
          <w:sz w:val="24"/>
          <w:highlight w:val="none"/>
        </w:rPr>
        <w:t>二、合同价款</w:t>
      </w:r>
      <w:bookmarkEnd w:id="1"/>
    </w:p>
    <w:p w14:paraId="30BB35D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1、合同</w:t>
      </w:r>
      <w:r>
        <w:rPr>
          <w:rFonts w:hint="eastAsia" w:ascii="仿宋" w:hAnsi="仿宋" w:eastAsia="仿宋" w:cs="仿宋"/>
          <w:sz w:val="24"/>
          <w:highlight w:val="none"/>
          <w:lang w:val="en-US" w:eastAsia="zh-CN"/>
        </w:rPr>
        <w:t>价格</w:t>
      </w:r>
      <w:r>
        <w:rPr>
          <w:rFonts w:hint="eastAsia" w:ascii="仿宋" w:hAnsi="仿宋" w:eastAsia="仿宋" w:cs="仿宋"/>
          <w:sz w:val="24"/>
          <w:highlight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元（大写：     ）</w:t>
      </w:r>
    </w:p>
    <w:p w14:paraId="02B4A34A">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w:t>
      </w:r>
      <w:r>
        <w:rPr>
          <w:rFonts w:hint="eastAsia" w:ascii="仿宋" w:hAnsi="仿宋" w:eastAsia="仿宋" w:cs="仿宋"/>
          <w:sz w:val="24"/>
          <w:highlight w:val="none"/>
          <w:lang w:val="en-US" w:eastAsia="zh-CN"/>
        </w:rPr>
        <w:t>价款</w:t>
      </w:r>
      <w:r>
        <w:rPr>
          <w:rFonts w:hint="eastAsia" w:ascii="仿宋" w:hAnsi="仿宋" w:eastAsia="仿宋" w:cs="仿宋"/>
          <w:sz w:val="24"/>
          <w:highlight w:val="none"/>
        </w:rPr>
        <w:t>包括：</w:t>
      </w:r>
    </w:p>
    <w:p w14:paraId="6F8EBEE1">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2" w:name="_Toc19515386"/>
      <w:r>
        <w:rPr>
          <w:rFonts w:hint="eastAsia" w:ascii="仿宋" w:hAnsi="仿宋" w:eastAsia="仿宋" w:cs="仿宋"/>
          <w:sz w:val="24"/>
          <w:highlight w:val="none"/>
        </w:rPr>
        <w:t>三、合同结算</w:t>
      </w:r>
      <w:bookmarkEnd w:id="2"/>
    </w:p>
    <w:p w14:paraId="1790655B">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lang w:eastAsia="zh-CN"/>
        </w:rPr>
      </w:pPr>
      <w:bookmarkStart w:id="3" w:name="_Toc19515387"/>
      <w:r>
        <w:rPr>
          <w:rFonts w:hint="eastAsia" w:ascii="仿宋" w:hAnsi="仿宋" w:eastAsia="仿宋" w:cs="仿宋"/>
          <w:sz w:val="24"/>
          <w:highlight w:val="none"/>
        </w:rPr>
        <w:t>1、付款</w:t>
      </w:r>
      <w:r>
        <w:rPr>
          <w:rFonts w:hint="eastAsia" w:ascii="仿宋" w:hAnsi="仿宋" w:eastAsia="仿宋" w:cs="仿宋"/>
          <w:sz w:val="24"/>
          <w:highlight w:val="none"/>
          <w:lang w:val="en-US" w:eastAsia="zh-CN"/>
        </w:rPr>
        <w:t>方式</w:t>
      </w:r>
      <w:r>
        <w:rPr>
          <w:rFonts w:hint="eastAsia" w:ascii="仿宋" w:hAnsi="仿宋" w:eastAsia="仿宋" w:cs="仿宋"/>
          <w:sz w:val="24"/>
          <w:highlight w:val="none"/>
        </w:rPr>
        <w:t>：合同</w:t>
      </w:r>
      <w:r>
        <w:rPr>
          <w:rFonts w:hint="eastAsia" w:ascii="仿宋" w:hAnsi="仿宋" w:eastAsia="仿宋" w:cs="仿宋"/>
          <w:sz w:val="24"/>
          <w:highlight w:val="none"/>
          <w:lang w:val="en-US" w:eastAsia="zh-CN"/>
        </w:rPr>
        <w:t>签订后</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按当年合同价款，</w:t>
      </w:r>
      <w:r>
        <w:rPr>
          <w:rFonts w:hint="eastAsia" w:ascii="仿宋" w:hAnsi="仿宋" w:eastAsia="仿宋" w:cs="仿宋"/>
          <w:sz w:val="24"/>
          <w:highlight w:val="none"/>
        </w:rPr>
        <w:t xml:space="preserve">达到付款条件起 </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日内，支付合同总金额的</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0.00%</w:t>
      </w:r>
      <w:r>
        <w:rPr>
          <w:rFonts w:hint="eastAsia" w:ascii="仿宋" w:hAnsi="仿宋" w:eastAsia="仿宋" w:cs="仿宋"/>
          <w:sz w:val="24"/>
          <w:highlight w:val="none"/>
          <w:lang w:eastAsia="zh-CN"/>
        </w:rPr>
        <w:t>。半年后</w:t>
      </w:r>
      <w:r>
        <w:rPr>
          <w:rFonts w:hint="eastAsia" w:ascii="仿宋" w:hAnsi="仿宋" w:eastAsia="仿宋" w:cs="仿宋"/>
          <w:sz w:val="24"/>
          <w:highlight w:val="none"/>
        </w:rPr>
        <w:t xml:space="preserve">，达到付款条件起 </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日内，支付合同总金额的</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 xml:space="preserve">0.00%。待项目结束且乙方服务质量经甲方认可后，达到付款条件起 </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日内，支付合同总金额的</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0.00%</w:t>
      </w:r>
      <w:r>
        <w:rPr>
          <w:rFonts w:hint="eastAsia" w:ascii="仿宋" w:hAnsi="仿宋" w:eastAsia="仿宋" w:cs="仿宋"/>
          <w:sz w:val="24"/>
          <w:highlight w:val="none"/>
          <w:lang w:eastAsia="zh-CN"/>
        </w:rPr>
        <w:t>。</w:t>
      </w:r>
    </w:p>
    <w:p w14:paraId="6594FDF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EF4F091">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6D9C8D4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四、履行期限、地点</w:t>
      </w:r>
      <w:bookmarkEnd w:id="3"/>
      <w:r>
        <w:rPr>
          <w:rFonts w:hint="eastAsia" w:ascii="仿宋" w:hAnsi="仿宋" w:eastAsia="仿宋" w:cs="仿宋"/>
          <w:sz w:val="24"/>
          <w:highlight w:val="none"/>
        </w:rPr>
        <w:t>：</w:t>
      </w:r>
    </w:p>
    <w:p w14:paraId="4767CD2C">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1、履行期限：自合同签订之日起</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合同一年一签</w:t>
      </w:r>
      <w:r>
        <w:rPr>
          <w:rFonts w:hint="eastAsia" w:ascii="仿宋" w:hAnsi="仿宋" w:eastAsia="仿宋" w:cs="仿宋"/>
          <w:sz w:val="24"/>
          <w:highlight w:val="none"/>
        </w:rPr>
        <w:t>。</w:t>
      </w:r>
    </w:p>
    <w:p w14:paraId="3B01D3B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rPr>
        <w:t>2、地点：</w:t>
      </w:r>
      <w:r>
        <w:rPr>
          <w:rFonts w:hint="eastAsia" w:ascii="仿宋" w:hAnsi="仿宋" w:eastAsia="仿宋" w:cs="仿宋"/>
          <w:sz w:val="24"/>
          <w:highlight w:val="none"/>
          <w:lang w:val="en-US" w:eastAsia="zh-CN"/>
        </w:rPr>
        <w:t>采购人指定地点</w:t>
      </w:r>
    </w:p>
    <w:p w14:paraId="11FE4323">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4" w:name="_Toc19515390"/>
      <w:r>
        <w:rPr>
          <w:rFonts w:hint="eastAsia" w:ascii="仿宋" w:hAnsi="仿宋" w:eastAsia="仿宋" w:cs="仿宋"/>
          <w:sz w:val="24"/>
          <w:highlight w:val="none"/>
        </w:rPr>
        <w:t>五、技术服务</w:t>
      </w:r>
      <w:bookmarkEnd w:id="4"/>
    </w:p>
    <w:p w14:paraId="6706321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1、对技术服务的要求：</w:t>
      </w:r>
    </w:p>
    <w:p w14:paraId="7CED3A5B">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2、技术资料：</w:t>
      </w:r>
    </w:p>
    <w:p w14:paraId="42382573">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、售后服务</w:t>
      </w:r>
    </w:p>
    <w:p w14:paraId="2C5141F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-1、乙方在接到甲方电话通知后在</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小时内派出合格的服务人员到达现场进行服务，承担相应费用。</w:t>
      </w:r>
    </w:p>
    <w:p w14:paraId="595E202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-2、如果乙方在收到通知后两天内没有弥补缺陷，甲方可采取必要的补救措施，但其风险和费用将由乙方承担，甲方根据合同规定对乙方行使的其它权力不受影响。</w:t>
      </w:r>
    </w:p>
    <w:p w14:paraId="4A291DD4">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3-3、如在服务期内乙方驻场人员出现工作失误、不遵守保密工作纪律、无法提供持续高效现场服务等令甲方不满意的服务问题，甲方可随时要求乙方更换服务工作人员，保证于五个工作日内新的工作人员派驻现场。</w:t>
      </w:r>
    </w:p>
    <w:p w14:paraId="7D535C0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5" w:name="_Toc19515391"/>
      <w:r>
        <w:rPr>
          <w:rFonts w:hint="eastAsia" w:ascii="仿宋" w:hAnsi="仿宋" w:eastAsia="仿宋" w:cs="仿宋"/>
          <w:sz w:val="24"/>
          <w:highlight w:val="none"/>
        </w:rPr>
        <w:t>六、验收</w:t>
      </w:r>
      <w:bookmarkEnd w:id="5"/>
    </w:p>
    <w:p w14:paraId="409A2C6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1、验收：乙方完成服务内容后，向甲方提出验收申请，甲方接到乙方验收申请后组织验收（必要时可聘请相应专家或委托相应部门验收），验收合格后，出具使用验收合格证明。</w:t>
      </w:r>
    </w:p>
    <w:p w14:paraId="5A7D18C8">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、验收依据：</w:t>
      </w:r>
    </w:p>
    <w:p w14:paraId="0898E5A8">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-1、合同文本、合同附件、竞争性磋商文件、成交供应商的响应文件。</w:t>
      </w:r>
    </w:p>
    <w:p w14:paraId="71C9D01A">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-2、国内相应的标准、规范。</w:t>
      </w:r>
    </w:p>
    <w:p w14:paraId="4CDB0C82">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6" w:name="_Toc19515392"/>
      <w:r>
        <w:rPr>
          <w:rFonts w:hint="eastAsia" w:ascii="仿宋" w:hAnsi="仿宋" w:eastAsia="仿宋" w:cs="仿宋"/>
          <w:sz w:val="24"/>
          <w:highlight w:val="none"/>
          <w:lang w:val="en-US" w:eastAsia="zh-CN"/>
        </w:rPr>
        <w:t>七</w:t>
      </w:r>
      <w:r>
        <w:rPr>
          <w:rFonts w:hint="eastAsia" w:ascii="仿宋" w:hAnsi="仿宋" w:eastAsia="仿宋" w:cs="仿宋"/>
          <w:sz w:val="24"/>
          <w:highlight w:val="none"/>
        </w:rPr>
        <w:t>、违约责任</w:t>
      </w:r>
      <w:bookmarkEnd w:id="6"/>
    </w:p>
    <w:p w14:paraId="452A545A">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1、按《中华人民</w:t>
      </w:r>
      <w:bookmarkStart w:id="10" w:name="_GoBack"/>
      <w:bookmarkEnd w:id="10"/>
      <w:r>
        <w:rPr>
          <w:rFonts w:hint="eastAsia" w:ascii="仿宋" w:hAnsi="仿宋" w:eastAsia="仿宋" w:cs="仿宋"/>
          <w:sz w:val="24"/>
          <w:highlight w:val="none"/>
        </w:rPr>
        <w:t>共和国民法典》中的相关条款执行。</w:t>
      </w:r>
    </w:p>
    <w:p w14:paraId="2BE247C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2、乙方履约延误</w:t>
      </w:r>
    </w:p>
    <w:p w14:paraId="40015C1F">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2-1、如乙方事先未征得甲方同意并得到甲方的谅解而单方面延迟执行合同，将按违约终止合同。</w:t>
      </w:r>
    </w:p>
    <w:p w14:paraId="50B35F1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C398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3、违约终止合同：未按合同要求提供服务或不能满足技术要求，甲方会同监督机构有权终止合同，对乙方违约行为进行追究，同时按政府采购法的有关规定进行相应的处罚。</w:t>
      </w:r>
    </w:p>
    <w:p w14:paraId="78124291">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7" w:name="_Toc19515393"/>
      <w:r>
        <w:rPr>
          <w:rFonts w:hint="eastAsia" w:ascii="仿宋" w:hAnsi="仿宋" w:eastAsia="仿宋" w:cs="仿宋"/>
          <w:sz w:val="24"/>
          <w:highlight w:val="none"/>
          <w:lang w:val="en-US" w:eastAsia="zh-CN"/>
        </w:rPr>
        <w:t>八</w:t>
      </w:r>
      <w:r>
        <w:rPr>
          <w:rFonts w:hint="eastAsia" w:ascii="仿宋" w:hAnsi="仿宋" w:eastAsia="仿宋" w:cs="仿宋"/>
          <w:sz w:val="24"/>
          <w:highlight w:val="none"/>
        </w:rPr>
        <w:t>、合同组成</w:t>
      </w:r>
      <w:bookmarkEnd w:id="7"/>
    </w:p>
    <w:p w14:paraId="46A3C85D">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1、成交通知书</w:t>
      </w:r>
    </w:p>
    <w:p w14:paraId="6D7FF027">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2、合同文件</w:t>
      </w:r>
    </w:p>
    <w:p w14:paraId="1E1E41ED">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3、国家相关规范及标准</w:t>
      </w:r>
    </w:p>
    <w:p w14:paraId="239BDF3B">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4、竞争性磋商文件</w:t>
      </w:r>
    </w:p>
    <w:p w14:paraId="4A3D2CB4">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r>
        <w:rPr>
          <w:rFonts w:hint="eastAsia" w:ascii="仿宋" w:hAnsi="仿宋" w:eastAsia="仿宋" w:cs="仿宋"/>
          <w:sz w:val="24"/>
          <w:highlight w:val="none"/>
        </w:rPr>
        <w:t>5、成交供应商的响应文件</w:t>
      </w:r>
    </w:p>
    <w:p w14:paraId="6AB48A73">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8" w:name="_Toc19515394"/>
      <w:r>
        <w:rPr>
          <w:rFonts w:hint="eastAsia" w:ascii="仿宋" w:hAnsi="仿宋" w:eastAsia="仿宋" w:cs="仿宋"/>
          <w:sz w:val="24"/>
          <w:highlight w:val="none"/>
          <w:lang w:val="en-US" w:eastAsia="zh-CN"/>
        </w:rPr>
        <w:t>九</w:t>
      </w:r>
      <w:r>
        <w:rPr>
          <w:rFonts w:hint="eastAsia" w:ascii="仿宋" w:hAnsi="仿宋" w:eastAsia="仿宋" w:cs="仿宋"/>
          <w:sz w:val="24"/>
          <w:highlight w:val="none"/>
        </w:rPr>
        <w:t>、解决争议的方法</w:t>
      </w:r>
      <w:bookmarkEnd w:id="8"/>
    </w:p>
    <w:p w14:paraId="50C6AA20">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凡因本合同引起的或与本合同有关的争议，双方应友好协商解决。协商不成时，双方均同意采用以下第（</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）种争议解决方式：</w:t>
      </w:r>
    </w:p>
    <w:p w14:paraId="14D8C8D6">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1、甲、乙双方均同意向（甲方所在地人民法院）提起诉讼。</w:t>
      </w:r>
    </w:p>
    <w:p w14:paraId="505B209E">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2、甲、乙双方均同意向（</w:t>
      </w:r>
      <w:r>
        <w:rPr>
          <w:rFonts w:hint="eastAsia" w:ascii="仿宋" w:hAnsi="仿宋" w:eastAsia="仿宋" w:cs="仿宋"/>
          <w:color w:val="auto"/>
          <w:kern w:val="0"/>
          <w:sz w:val="24"/>
          <w:highlight w:val="none"/>
          <w:u w:val="none"/>
        </w:rPr>
        <w:t>仲裁委员会</w:t>
      </w:r>
      <w:r>
        <w:rPr>
          <w:rFonts w:hint="eastAsia" w:ascii="仿宋" w:hAnsi="仿宋" w:eastAsia="仿宋" w:cs="仿宋"/>
          <w:kern w:val="0"/>
          <w:sz w:val="24"/>
          <w:highlight w:val="none"/>
        </w:rPr>
        <w:t>）提起仲裁。</w:t>
      </w:r>
    </w:p>
    <w:p w14:paraId="13B9DAAF">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highlight w:val="none"/>
        </w:rPr>
      </w:pPr>
      <w:bookmarkStart w:id="9" w:name="_Toc19515395"/>
      <w:r>
        <w:rPr>
          <w:rFonts w:hint="eastAsia" w:ascii="仿宋" w:hAnsi="仿宋" w:eastAsia="仿宋" w:cs="仿宋"/>
          <w:sz w:val="24"/>
          <w:highlight w:val="none"/>
        </w:rPr>
        <w:t>十、合同生效及其它</w:t>
      </w:r>
      <w:bookmarkEnd w:id="9"/>
    </w:p>
    <w:p w14:paraId="6D39F93B">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1、合同未尽事宜、由甲、乙双方协商，作为合同补充，与原合同具有同等法律效力。</w:t>
      </w:r>
    </w:p>
    <w:p w14:paraId="4D229A2F">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4F7F5D5A">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 本合同正本一式</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份，甲方、乙方双方分别执</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备案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p>
    <w:p w14:paraId="3F65CE38">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4</w:t>
      </w:r>
      <w:r>
        <w:rPr>
          <w:rFonts w:hint="eastAsia" w:ascii="仿宋" w:hAnsi="仿宋" w:eastAsia="仿宋" w:cs="仿宋"/>
          <w:kern w:val="0"/>
          <w:sz w:val="24"/>
          <w:highlight w:val="none"/>
        </w:rPr>
        <w:t>、合同经甲乙双方盖章、签字后生效，合同签订地点为</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5CF62A85">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5</w:t>
      </w:r>
      <w:r>
        <w:rPr>
          <w:rFonts w:hint="eastAsia" w:ascii="仿宋" w:hAnsi="仿宋" w:eastAsia="仿宋" w:cs="仿宋"/>
          <w:kern w:val="0"/>
          <w:sz w:val="24"/>
          <w:highlight w:val="none"/>
        </w:rPr>
        <w:t>、生效时间：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016E45D5">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26832848">
        <w:tblPrEx>
          <w:tblCellMar>
            <w:top w:w="0" w:type="dxa"/>
            <w:left w:w="108" w:type="dxa"/>
            <w:bottom w:w="0" w:type="dxa"/>
            <w:right w:w="108" w:type="dxa"/>
          </w:tblCellMar>
        </w:tblPrEx>
        <w:trPr>
          <w:jc w:val="center"/>
        </w:trPr>
        <w:tc>
          <w:tcPr>
            <w:tcW w:w="4643" w:type="dxa"/>
          </w:tcPr>
          <w:p w14:paraId="78E4BEA3">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甲方名称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1E56FAA7">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4592165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569E37A2">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643520AD">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377765BE">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c>
          <w:tcPr>
            <w:tcW w:w="4643" w:type="dxa"/>
          </w:tcPr>
          <w:p w14:paraId="26EF95C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乙方名称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0D5F457D">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0F565801">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64343352">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68282A47">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2400FFD0">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r>
    </w:tbl>
    <w:p w14:paraId="5892F842">
      <w:pPr>
        <w:rPr>
          <w:rFonts w:hint="eastAsia" w:ascii="仿宋" w:hAnsi="仿宋" w:eastAsia="仿宋" w:cs="仿宋"/>
          <w:highlight w:val="none"/>
        </w:rPr>
      </w:pPr>
    </w:p>
    <w:p w14:paraId="7839082D">
      <w:pPr>
        <w:pStyle w:val="12"/>
        <w:rPr>
          <w:rFonts w:hint="eastAsia"/>
          <w:highlight w:val="none"/>
          <w:lang w:val="en-US" w:eastAsia="zh-Hans"/>
        </w:rPr>
      </w:pPr>
    </w:p>
    <w:p w14:paraId="110B3D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C77E99"/>
    <w:rsid w:val="0561174D"/>
    <w:rsid w:val="17093264"/>
    <w:rsid w:val="1D2366AB"/>
    <w:rsid w:val="21C02D6D"/>
    <w:rsid w:val="25774AEE"/>
    <w:rsid w:val="265754CC"/>
    <w:rsid w:val="2755784B"/>
    <w:rsid w:val="29B7714B"/>
    <w:rsid w:val="2A09202A"/>
    <w:rsid w:val="2B57116C"/>
    <w:rsid w:val="2D012D2F"/>
    <w:rsid w:val="2DC047AC"/>
    <w:rsid w:val="35E02BBA"/>
    <w:rsid w:val="3F7B0BE4"/>
    <w:rsid w:val="3FA639A6"/>
    <w:rsid w:val="40563691"/>
    <w:rsid w:val="432B57DF"/>
    <w:rsid w:val="469B0D50"/>
    <w:rsid w:val="4C334E7A"/>
    <w:rsid w:val="578318F4"/>
    <w:rsid w:val="59B63CDD"/>
    <w:rsid w:val="62F04E50"/>
    <w:rsid w:val="688E376F"/>
    <w:rsid w:val="6B9E2823"/>
    <w:rsid w:val="6D2055BE"/>
    <w:rsid w:val="6FA403B2"/>
    <w:rsid w:val="7B165BB8"/>
    <w:rsid w:val="7B3972D8"/>
    <w:rsid w:val="7BB1183B"/>
    <w:rsid w:val="7D311748"/>
    <w:rsid w:val="7F9E2999"/>
    <w:rsid w:val="7FC52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left="555"/>
    </w:pPr>
    <w:rPr>
      <w:sz w:val="28"/>
      <w:szCs w:val="20"/>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2"/>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1005</Words>
  <Characters>1025</Characters>
  <Lines>0</Lines>
  <Paragraphs>0</Paragraphs>
  <TotalTime>0</TotalTime>
  <ScaleCrop>false</ScaleCrop>
  <LinksUpToDate>false</LinksUpToDate>
  <CharactersWithSpaces>1071</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Jun</cp:lastModifiedBy>
  <dcterms:modified xsi:type="dcterms:W3CDTF">2025-07-15T10:57:03Z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66FC0BCAD7394252B43FB19C237F7107_11</vt:lpwstr>
  </property>
  <property fmtid="{D5CDD505-2E9C-101B-9397-08002B2CF9AE}" pid="4" name="KSOTemplateDocerSaveRecord">
    <vt:lpwstr>eyJoZGlkIjoiZDU3NDQxYWM0MTczYjBhMzlmYjdkYmMwMzBhMmYwMWMiLCJ1c2VySWQiOiIyNTQ0OTA1OTQifQ==</vt:lpwstr>
  </property>
</Properties>
</file>