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版本号：GWZC-2024-206-SXLX24-02-151Z(F)(三次)20250702001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奥体大道西侧规划路（秦汉大道-林泓路）安全评估服务(三次)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GWZC-2024-206-SXLX24-02-151Z(F)(三次)</w:t>
      </w:r>
      <w:r>
        <w:br/>
      </w:r>
      <w:r>
        <w:br/>
      </w:r>
      <w:r>
        <w:br/>
      </w:r>
    </w:p>
    <w:p>
      <w:pPr>
        <w:pStyle w:val="null3"/>
        <w:jc w:val="center"/>
        <w:outlineLvl w:val="2"/>
      </w:pPr>
      <w:r>
        <w:rPr>
          <w:rFonts w:ascii="仿宋_GB2312" w:hAnsi="仿宋_GB2312" w:cs="仿宋_GB2312" w:eastAsia="仿宋_GB2312"/>
          <w:sz w:val="28"/>
          <w:b/>
        </w:rPr>
        <w:t>西安浐灞国际港住房和城乡建设局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西安浐灞国际港住房和城乡建设局</w:t>
      </w:r>
      <w:r>
        <w:rPr>
          <w:rFonts w:ascii="仿宋_GB2312" w:hAnsi="仿宋_GB2312" w:cs="仿宋_GB2312" w:eastAsia="仿宋_GB2312"/>
        </w:rPr>
        <w:t>委托，拟对</w:t>
      </w:r>
      <w:r>
        <w:rPr>
          <w:rFonts w:ascii="仿宋_GB2312" w:hAnsi="仿宋_GB2312" w:cs="仿宋_GB2312" w:eastAsia="仿宋_GB2312"/>
        </w:rPr>
        <w:t>奥体大道西侧规划路（秦汉大道-林泓路）安全评估服务(三次)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GWZC-2024-206-SXLX24-02-151Z(F)(三次)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奥体大道西侧规划路（秦汉大道-林泓路）安全评估服务(三次)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西安国际港务区奥体大道西侧规划路（秦汉大道-林泓路）市政工程南起秦汉大道，北至林泓路，下穿运营的大西高铁、徐兰高铁以及在建的西延高铁项目。对既有铁路安全影响风险的评估。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包1(奥体大道西侧规划路（秦汉大道-林泓路）安全评估服务)特定资格要求如下：1、(1)供应商的营业执照等证明文件，自然人的身份证明；(2)法定代表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磋商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(11)具有建设行政主管部门核发的有效的工程设计综合甲级资质或工程设计铁道行业甲（II）级及以上资质；(12)拟派项目负责人具有相关专业高级工程师及以上职称；提供证书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15829778976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任甜、王小琼、梁嘉峰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代理服务费收费标准：采购代理服务费以成交金额为基础，依据《国家发展改革委关于进一步放开建设项目专业服务价格的通知》（发改价格〔2015〕299号）规定按陆仟元收取，收费金额将在成交公告中公布。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注：此服务费应计入投标报价中，但不需要单独开列。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西安浐灞国际港住房和城乡建设局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 国家铁路局、国家铁路集团及其他相关规程、规范和规定执行；在实施过程中，如果国家或有关部门颁布了新的技术标准或规范，则供应商应采用新的标准或规范进行实施，供应商提出验收申请之日起10日内组织验收，自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地址：陕西省西安市雁塔区雁翔路111号赛格·中京坊公寓A1单元2层10201室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color w:val="0000FF"/>
        </w:rPr>
        <w:t>西安国际港务区奥体大道西侧规划路（秦汉大道</w:t>
      </w:r>
      <w:r>
        <w:rPr>
          <w:rFonts w:ascii="仿宋_GB2312" w:hAnsi="仿宋_GB2312" w:cs="仿宋_GB2312" w:eastAsia="仿宋_GB2312"/>
          <w:color w:val="0000FF"/>
        </w:rPr>
        <w:t>-</w:t>
      </w:r>
      <w:r>
        <w:rPr>
          <w:rFonts w:ascii="仿宋_GB2312" w:hAnsi="仿宋_GB2312" w:cs="仿宋_GB2312" w:eastAsia="仿宋_GB2312"/>
          <w:color w:val="0000FF"/>
        </w:rPr>
        <w:t>林泓路）市政工程南起秦汉大道，北至林泓路，下穿运营的大西高铁、徐兰高铁以及在建的西延高铁项目。</w:t>
      </w:r>
      <w:r>
        <w:rPr>
          <w:rFonts w:ascii="仿宋_GB2312" w:hAnsi="仿宋_GB2312" w:cs="仿宋_GB2312" w:eastAsia="仿宋_GB2312"/>
          <w:color w:val="0000FF"/>
        </w:rPr>
        <w:t>对既有铁路安全影响风险的评估</w:t>
      </w:r>
      <w:r>
        <w:rPr>
          <w:rFonts w:ascii="仿宋_GB2312" w:hAnsi="仿宋_GB2312" w:cs="仿宋_GB2312" w:eastAsia="仿宋_GB2312"/>
          <w:color w:val="0000FF"/>
        </w:rPr>
        <w:t>。本项目所属行业为其他未列明行业。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奥体大道西侧规划路（秦汉大道-林泓路）安全评估服务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标的名称：奥体大道西侧规划路（秦汉大道-林泓路）安全评估服务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项目概况</w:t>
            </w:r>
          </w:p>
          <w:p>
            <w:pPr>
              <w:pStyle w:val="null3"/>
              <w:ind w:firstLine="420"/>
            </w:pPr>
            <w:r>
              <w:rPr>
                <w:rFonts w:ascii="仿宋_GB2312" w:hAnsi="仿宋_GB2312" w:cs="仿宋_GB2312" w:eastAsia="仿宋_GB2312"/>
                <w:sz w:val="20"/>
              </w:rPr>
              <w:t>西安国际港务区奥体大道西侧规划路（秦汉大道</w:t>
            </w:r>
            <w:r>
              <w:rPr>
                <w:rFonts w:ascii="仿宋_GB2312" w:hAnsi="仿宋_GB2312" w:cs="仿宋_GB2312" w:eastAsia="仿宋_GB2312"/>
                <w:sz w:val="20"/>
              </w:rPr>
              <w:t>-林泓路）市政工程南起秦汉大道，北至林泓路，下穿运营的大西高铁、徐兰高铁以及在建的西延高铁项目</w:t>
            </w:r>
            <w:r>
              <w:rPr>
                <w:rFonts w:ascii="仿宋_GB2312" w:hAnsi="仿宋_GB2312" w:cs="仿宋_GB2312" w:eastAsia="仿宋_GB2312"/>
                <w:sz w:val="20"/>
              </w:rPr>
              <w:t>。</w:t>
            </w:r>
            <w:r>
              <w:rPr>
                <w:rFonts w:ascii="仿宋_GB2312" w:hAnsi="仿宋_GB2312" w:cs="仿宋_GB2312" w:eastAsia="仿宋_GB2312"/>
                <w:sz w:val="20"/>
              </w:rPr>
              <w:t>对既有铁路安全影响风险的评估。</w:t>
            </w:r>
            <w:r>
              <w:rPr>
                <w:rFonts w:ascii="仿宋_GB2312" w:hAnsi="仿宋_GB2312" w:cs="仿宋_GB2312" w:eastAsia="仿宋_GB2312"/>
                <w:sz w:val="20"/>
                <w:b/>
              </w:rPr>
              <w:t>本项目所属行业</w:t>
            </w:r>
            <w:r>
              <w:rPr>
                <w:rFonts w:ascii="仿宋_GB2312" w:hAnsi="仿宋_GB2312" w:cs="仿宋_GB2312" w:eastAsia="仿宋_GB2312"/>
                <w:sz w:val="20"/>
                <w:b/>
              </w:rPr>
              <w:t>：</w:t>
            </w:r>
            <w:r>
              <w:rPr>
                <w:rFonts w:ascii="仿宋_GB2312" w:hAnsi="仿宋_GB2312" w:cs="仿宋_GB2312" w:eastAsia="仿宋_GB2312"/>
                <w:sz w:val="20"/>
                <w:b/>
              </w:rPr>
              <w:t>其他未列明行业</w:t>
            </w:r>
            <w:r>
              <w:rPr>
                <w:rFonts w:ascii="仿宋_GB2312" w:hAnsi="仿宋_GB2312" w:cs="仿宋_GB2312" w:eastAsia="仿宋_GB2312"/>
                <w:sz w:val="20"/>
                <w:b/>
              </w:rPr>
              <w:t>（从业人员</w:t>
            </w:r>
            <w:r>
              <w:rPr>
                <w:rFonts w:ascii="仿宋_GB2312" w:hAnsi="仿宋_GB2312" w:cs="仿宋_GB2312" w:eastAsia="仿宋_GB2312"/>
                <w:sz w:val="20"/>
                <w:b/>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color w:val="000000"/>
              </w:rPr>
              <w:t>二、服务内容</w:t>
            </w:r>
          </w:p>
          <w:p>
            <w:pPr>
              <w:pStyle w:val="null3"/>
              <w:ind w:firstLine="420"/>
            </w:pPr>
            <w:r>
              <w:rPr>
                <w:rFonts w:ascii="仿宋_GB2312" w:hAnsi="仿宋_GB2312" w:cs="仿宋_GB2312" w:eastAsia="仿宋_GB2312"/>
                <w:sz w:val="20"/>
              </w:rPr>
              <w:t>为</w:t>
            </w:r>
            <w:r>
              <w:rPr>
                <w:rFonts w:ascii="仿宋_GB2312" w:hAnsi="仿宋_GB2312" w:cs="仿宋_GB2312" w:eastAsia="仿宋_GB2312"/>
                <w:sz w:val="20"/>
              </w:rPr>
              <w:t>西安国际港务区奥体大道西侧规划路（秦汉大道</w:t>
            </w:r>
            <w:r>
              <w:rPr>
                <w:rFonts w:ascii="仿宋_GB2312" w:hAnsi="仿宋_GB2312" w:cs="仿宋_GB2312" w:eastAsia="仿宋_GB2312"/>
                <w:sz w:val="20"/>
              </w:rPr>
              <w:t>-林泓路）市政工程</w:t>
            </w:r>
            <w:r>
              <w:rPr>
                <w:rFonts w:ascii="仿宋_GB2312" w:hAnsi="仿宋_GB2312" w:cs="仿宋_GB2312" w:eastAsia="仿宋_GB2312"/>
                <w:sz w:val="20"/>
              </w:rPr>
              <w:t>下穿铁路提供安全影响评估服务，建议措施，为后续设计及施工提供</w:t>
            </w:r>
            <w:r>
              <w:rPr>
                <w:rFonts w:ascii="仿宋_GB2312" w:hAnsi="仿宋_GB2312" w:cs="仿宋_GB2312" w:eastAsia="仿宋_GB2312"/>
                <w:sz w:val="20"/>
              </w:rPr>
              <w:t>科学依据</w:t>
            </w:r>
            <w:r>
              <w:rPr>
                <w:rFonts w:ascii="仿宋_GB2312" w:hAnsi="仿宋_GB2312" w:cs="仿宋_GB2312" w:eastAsia="仿宋_GB2312"/>
                <w:sz w:val="20"/>
              </w:rPr>
              <w:t>的相关服务</w:t>
            </w:r>
            <w:r>
              <w:rPr>
                <w:rFonts w:ascii="仿宋_GB2312" w:hAnsi="仿宋_GB2312" w:cs="仿宋_GB2312" w:eastAsia="仿宋_GB2312"/>
                <w:sz w:val="20"/>
              </w:rPr>
              <w:t>，对可能影响高速铁路安全的工程</w:t>
            </w:r>
            <w:r>
              <w:rPr>
                <w:rFonts w:ascii="仿宋_GB2312" w:hAnsi="仿宋_GB2312" w:cs="仿宋_GB2312" w:eastAsia="仿宋_GB2312"/>
                <w:sz w:val="20"/>
              </w:rPr>
              <w:t>进行</w:t>
            </w:r>
            <w:r>
              <w:rPr>
                <w:rFonts w:ascii="仿宋_GB2312" w:hAnsi="仿宋_GB2312" w:cs="仿宋_GB2312" w:eastAsia="仿宋_GB2312"/>
                <w:sz w:val="20"/>
              </w:rPr>
              <w:t>安全影响风险评估，形成安全评估报告。</w:t>
            </w:r>
          </w:p>
          <w:p>
            <w:pPr>
              <w:pStyle w:val="null3"/>
              <w:jc w:val="left"/>
            </w:pPr>
            <w:r>
              <w:rPr>
                <w:rFonts w:ascii="仿宋_GB2312" w:hAnsi="仿宋_GB2312" w:cs="仿宋_GB2312" w:eastAsia="仿宋_GB2312"/>
                <w:sz w:val="20"/>
                <w:b/>
                <w:color w:val="000000"/>
              </w:rPr>
              <w:t>三、技术要求</w:t>
            </w:r>
          </w:p>
          <w:p>
            <w:pPr>
              <w:pStyle w:val="null3"/>
              <w:ind w:firstLine="420"/>
            </w:pPr>
            <w:r>
              <w:rPr>
                <w:rFonts w:ascii="仿宋_GB2312" w:hAnsi="仿宋_GB2312" w:cs="仿宋_GB2312" w:eastAsia="仿宋_GB2312"/>
                <w:sz w:val="20"/>
              </w:rPr>
              <w:t>本项目主要对</w:t>
            </w:r>
            <w:r>
              <w:rPr>
                <w:rFonts w:ascii="仿宋_GB2312" w:hAnsi="仿宋_GB2312" w:cs="仿宋_GB2312" w:eastAsia="仿宋_GB2312"/>
                <w:sz w:val="20"/>
              </w:rPr>
              <w:t>西安国际港务区奥体大道西侧规划路（秦汉大道</w:t>
            </w:r>
            <w:r>
              <w:rPr>
                <w:rFonts w:ascii="仿宋_GB2312" w:hAnsi="仿宋_GB2312" w:cs="仿宋_GB2312" w:eastAsia="仿宋_GB2312"/>
                <w:sz w:val="20"/>
              </w:rPr>
              <w:t>-林泓路）市政工程</w:t>
            </w:r>
            <w:r>
              <w:rPr>
                <w:rFonts w:ascii="仿宋_GB2312" w:hAnsi="仿宋_GB2312" w:cs="仿宋_GB2312" w:eastAsia="仿宋_GB2312"/>
                <w:sz w:val="20"/>
              </w:rPr>
              <w:t>涉及既有铁路的安全评估工作。按照《铁路桥涵设计规范》、《铁路桥涵地基和基础设计规范》、《公路与市政工程下穿高速铁路技术规程》等现行铁路行业规范，收集</w:t>
            </w:r>
            <w:r>
              <w:rPr>
                <w:rFonts w:ascii="仿宋_GB2312" w:hAnsi="仿宋_GB2312" w:cs="仿宋_GB2312" w:eastAsia="仿宋_GB2312"/>
                <w:sz w:val="20"/>
              </w:rPr>
              <w:t>既有高铁桥梁</w:t>
            </w:r>
            <w:r>
              <w:rPr>
                <w:rFonts w:ascii="仿宋_GB2312" w:hAnsi="仿宋_GB2312" w:cs="仿宋_GB2312" w:eastAsia="仿宋_GB2312"/>
                <w:sz w:val="20"/>
              </w:rPr>
              <w:t>资料</w:t>
            </w:r>
            <w:r>
              <w:rPr>
                <w:rFonts w:ascii="仿宋_GB2312" w:hAnsi="仿宋_GB2312" w:cs="仿宋_GB2312" w:eastAsia="仿宋_GB2312"/>
                <w:sz w:val="20"/>
              </w:rPr>
              <w:t>，</w:t>
            </w:r>
            <w:r>
              <w:rPr>
                <w:rFonts w:ascii="仿宋_GB2312" w:hAnsi="仿宋_GB2312" w:cs="仿宋_GB2312" w:eastAsia="仿宋_GB2312"/>
                <w:sz w:val="20"/>
              </w:rPr>
              <w:t>就本工程施工期间对既有铁路桥梁沉降、变形等影响进行计算分析，提出安全性评估意见</w:t>
            </w:r>
            <w:r>
              <w:rPr>
                <w:rFonts w:ascii="仿宋_GB2312" w:hAnsi="仿宋_GB2312" w:cs="仿宋_GB2312" w:eastAsia="仿宋_GB2312"/>
                <w:sz w:val="20"/>
              </w:rPr>
              <w:t>，并对设计方案提出合理性、经济性优化建议，最终出具安全评估报告。</w:t>
            </w:r>
          </w:p>
          <w:p>
            <w:pPr>
              <w:pStyle w:val="null3"/>
              <w:ind w:firstLine="420"/>
            </w:pPr>
            <w:r>
              <w:rPr>
                <w:rFonts w:ascii="仿宋_GB2312" w:hAnsi="仿宋_GB2312" w:cs="仿宋_GB2312" w:eastAsia="仿宋_GB2312"/>
                <w:sz w:val="20"/>
                <w:b/>
              </w:rPr>
              <w:t>1.</w:t>
            </w:r>
            <w:r>
              <w:rPr>
                <w:rFonts w:ascii="仿宋_GB2312" w:hAnsi="仿宋_GB2312" w:cs="仿宋_GB2312" w:eastAsia="仿宋_GB2312"/>
                <w:sz w:val="20"/>
                <w:b/>
              </w:rPr>
              <w:t>工作主要内容</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1）收集资料及评估分析</w:t>
            </w:r>
            <w:r>
              <w:rPr>
                <w:rFonts w:ascii="仿宋_GB2312" w:hAnsi="仿宋_GB2312" w:cs="仿宋_GB2312" w:eastAsia="仿宋_GB2312"/>
                <w:sz w:val="20"/>
              </w:rPr>
              <w:t>；</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2）建模分析</w:t>
            </w:r>
            <w:r>
              <w:rPr>
                <w:rFonts w:ascii="仿宋_GB2312" w:hAnsi="仿宋_GB2312" w:cs="仿宋_GB2312" w:eastAsia="仿宋_GB2312"/>
                <w:sz w:val="20"/>
              </w:rPr>
              <w:t>；</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3）安全评估报告初审</w:t>
            </w:r>
            <w:r>
              <w:rPr>
                <w:rFonts w:ascii="仿宋_GB2312" w:hAnsi="仿宋_GB2312" w:cs="仿宋_GB2312" w:eastAsia="仿宋_GB2312"/>
                <w:sz w:val="20"/>
              </w:rPr>
              <w:t>；</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4）安全评估报告</w:t>
            </w:r>
            <w:r>
              <w:rPr>
                <w:rFonts w:ascii="仿宋_GB2312" w:hAnsi="仿宋_GB2312" w:cs="仿宋_GB2312" w:eastAsia="仿宋_GB2312"/>
                <w:sz w:val="20"/>
              </w:rPr>
              <w:t>内部</w:t>
            </w:r>
            <w:r>
              <w:rPr>
                <w:rFonts w:ascii="仿宋_GB2312" w:hAnsi="仿宋_GB2312" w:cs="仿宋_GB2312" w:eastAsia="仿宋_GB2312"/>
                <w:sz w:val="20"/>
              </w:rPr>
              <w:t>专家评审会</w:t>
            </w:r>
            <w:r>
              <w:rPr>
                <w:rFonts w:ascii="仿宋_GB2312" w:hAnsi="仿宋_GB2312" w:cs="仿宋_GB2312" w:eastAsia="仿宋_GB2312"/>
                <w:sz w:val="20"/>
              </w:rPr>
              <w:t>；</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5）根据专家意见完成评估报告终稿</w:t>
            </w:r>
            <w:r>
              <w:rPr>
                <w:rFonts w:ascii="仿宋_GB2312" w:hAnsi="仿宋_GB2312" w:cs="仿宋_GB2312" w:eastAsia="仿宋_GB2312"/>
                <w:sz w:val="20"/>
              </w:rPr>
              <w:t>。</w:t>
            </w:r>
          </w:p>
          <w:p>
            <w:pPr>
              <w:pStyle w:val="null3"/>
              <w:ind w:firstLine="420"/>
            </w:pPr>
            <w:r>
              <w:rPr>
                <w:rFonts w:ascii="仿宋_GB2312" w:hAnsi="仿宋_GB2312" w:cs="仿宋_GB2312" w:eastAsia="仿宋_GB2312"/>
                <w:sz w:val="20"/>
                <w:b/>
              </w:rPr>
              <w:t>2.具体要求：</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1）收集资料及评估分析</w:t>
            </w:r>
          </w:p>
          <w:p>
            <w:pPr>
              <w:pStyle w:val="null3"/>
              <w:ind w:firstLine="420"/>
            </w:pPr>
            <w:r>
              <w:rPr>
                <w:rFonts w:ascii="仿宋_GB2312" w:hAnsi="仿宋_GB2312" w:cs="仿宋_GB2312" w:eastAsia="仿宋_GB2312"/>
                <w:sz w:val="20"/>
              </w:rPr>
              <w:t>①收集资料及熟悉资料</w:t>
            </w:r>
          </w:p>
          <w:p>
            <w:pPr>
              <w:pStyle w:val="null3"/>
              <w:ind w:firstLine="420"/>
            </w:pPr>
            <w:r>
              <w:rPr>
                <w:rFonts w:ascii="仿宋_GB2312" w:hAnsi="仿宋_GB2312" w:cs="仿宋_GB2312" w:eastAsia="仿宋_GB2312"/>
                <w:sz w:val="20"/>
              </w:rPr>
              <w:t>收集既有铁路资料，包括本工程施工影响范围内的既有铁路桥图纸、水文地质情况等，结合本工程特点进行整理并熟悉。</w:t>
            </w:r>
          </w:p>
          <w:p>
            <w:pPr>
              <w:pStyle w:val="null3"/>
              <w:ind w:firstLine="420"/>
            </w:pPr>
            <w:r>
              <w:rPr>
                <w:rFonts w:ascii="仿宋_GB2312" w:hAnsi="仿宋_GB2312" w:cs="仿宋_GB2312" w:eastAsia="仿宋_GB2312"/>
                <w:sz w:val="20"/>
              </w:rPr>
              <w:t>②研究方案</w:t>
            </w:r>
          </w:p>
          <w:p>
            <w:pPr>
              <w:pStyle w:val="null3"/>
              <w:ind w:firstLine="420"/>
            </w:pPr>
            <w:r>
              <w:rPr>
                <w:rFonts w:ascii="仿宋_GB2312" w:hAnsi="仿宋_GB2312" w:cs="仿宋_GB2312" w:eastAsia="仿宋_GB2312"/>
                <w:sz w:val="20"/>
              </w:rPr>
              <w:t>根据收集到的资料研究本项目对既有铁路的影响范围，根据铁路行业相关规范、条文确定本项目设计方案的合理合规性，提出合理的改进建议措施。</w:t>
            </w:r>
          </w:p>
          <w:p>
            <w:pPr>
              <w:pStyle w:val="null3"/>
              <w:ind w:firstLine="420"/>
            </w:pPr>
            <w:r>
              <w:rPr>
                <w:rFonts w:ascii="仿宋_GB2312" w:hAnsi="仿宋_GB2312" w:cs="仿宋_GB2312" w:eastAsia="仿宋_GB2312"/>
                <w:sz w:val="20"/>
              </w:rPr>
              <w:t>③确定分析方法及原则</w:t>
            </w:r>
          </w:p>
          <w:p>
            <w:pPr>
              <w:pStyle w:val="null3"/>
              <w:ind w:firstLine="420"/>
            </w:pPr>
            <w:r>
              <w:rPr>
                <w:rFonts w:ascii="仿宋_GB2312" w:hAnsi="仿宋_GB2312" w:cs="仿宋_GB2312" w:eastAsia="仿宋_GB2312"/>
                <w:sz w:val="20"/>
              </w:rPr>
              <w:t>根据以上资料确定本项目对既有铁路设备沉降、水平变形的方式方法等，制定安全评估原则。</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2）建立岩土－道路-铁路桥梁等结构耦合有限元三维模型。</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3）三维模型计算</w:t>
            </w:r>
          </w:p>
          <w:p>
            <w:pPr>
              <w:pStyle w:val="null3"/>
              <w:ind w:firstLine="420"/>
            </w:pPr>
            <w:r>
              <w:rPr>
                <w:rFonts w:ascii="仿宋_GB2312" w:hAnsi="仿宋_GB2312" w:cs="仿宋_GB2312" w:eastAsia="仿宋_GB2312"/>
                <w:sz w:val="20"/>
              </w:rPr>
              <w:t>本次评估需对</w:t>
            </w:r>
            <w:r>
              <w:rPr>
                <w:rFonts w:ascii="仿宋_GB2312" w:hAnsi="仿宋_GB2312" w:cs="仿宋_GB2312" w:eastAsia="仿宋_GB2312"/>
                <w:sz w:val="20"/>
              </w:rPr>
              <w:t>西安国际港务区奥体大道西侧规划路（秦汉大道</w:t>
            </w:r>
            <w:r>
              <w:rPr>
                <w:rFonts w:ascii="仿宋_GB2312" w:hAnsi="仿宋_GB2312" w:cs="仿宋_GB2312" w:eastAsia="仿宋_GB2312"/>
                <w:sz w:val="20"/>
              </w:rPr>
              <w:t>-林泓路）市政工程</w:t>
            </w:r>
            <w:r>
              <w:rPr>
                <w:rFonts w:ascii="仿宋_GB2312" w:hAnsi="仿宋_GB2312" w:cs="仿宋_GB2312" w:eastAsia="仿宋_GB2312"/>
                <w:sz w:val="20"/>
              </w:rPr>
              <w:t>的施工和运营工况进行模拟。</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4）有限元计算结果分析</w:t>
            </w:r>
          </w:p>
          <w:p>
            <w:pPr>
              <w:pStyle w:val="null3"/>
              <w:ind w:firstLine="420"/>
            </w:pPr>
            <w:r>
              <w:rPr>
                <w:rFonts w:ascii="仿宋_GB2312" w:hAnsi="仿宋_GB2312" w:cs="仿宋_GB2312" w:eastAsia="仿宋_GB2312"/>
                <w:sz w:val="20"/>
              </w:rPr>
              <w:t>本工程施工期间会引起铁路桥梁附近地层的移动和变形，进而导致既有铁路桥梁结构随之发生移动和变形。需要对铁路桥梁墩台顶位移变形等进行有限元数值模拟分析检算，确保既有铁路结构的运营安全，给出优化建议，确保既有铁路的运营安全。</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5）撰写报告</w:t>
            </w:r>
          </w:p>
          <w:p>
            <w:pPr>
              <w:pStyle w:val="null3"/>
              <w:ind w:firstLine="420"/>
            </w:pPr>
            <w:r>
              <w:rPr>
                <w:rFonts w:ascii="仿宋_GB2312" w:hAnsi="仿宋_GB2312" w:cs="仿宋_GB2312" w:eastAsia="仿宋_GB2312"/>
                <w:sz w:val="20"/>
              </w:rPr>
              <w:t>根据各施工工序对应的各种工况进行分析计算，对设计方案是否可行给出明确结论，形成安全评估报告初稿。</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6）报告审定</w:t>
            </w:r>
          </w:p>
          <w:p>
            <w:pPr>
              <w:pStyle w:val="null3"/>
              <w:ind w:firstLine="420"/>
            </w:pPr>
            <w:r>
              <w:rPr>
                <w:rFonts w:ascii="仿宋_GB2312" w:hAnsi="仿宋_GB2312" w:cs="仿宋_GB2312" w:eastAsia="仿宋_GB2312"/>
                <w:sz w:val="20"/>
              </w:rPr>
              <w:t>供应商须严格执行相关政策要求，开展复核、审核、报告审定环节，形成安全评估报告。</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7）安全评估报告初审</w:t>
            </w:r>
          </w:p>
          <w:p>
            <w:pPr>
              <w:pStyle w:val="null3"/>
              <w:ind w:firstLine="420"/>
            </w:pPr>
            <w:r>
              <w:rPr>
                <w:rFonts w:ascii="仿宋_GB2312" w:hAnsi="仿宋_GB2312" w:cs="仿宋_GB2312" w:eastAsia="仿宋_GB2312"/>
                <w:sz w:val="20"/>
              </w:rPr>
              <w:t>安全评估报告送项目所在地铁路主管部门审查前，供应商需组织进行安全评估报告的初审，审查完毕修改后形成送审版安全评估报告。</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8）出具安全评估报告</w:t>
            </w:r>
          </w:p>
          <w:p>
            <w:pPr>
              <w:pStyle w:val="null3"/>
              <w:ind w:firstLine="420"/>
            </w:pPr>
            <w:r>
              <w:rPr>
                <w:rFonts w:ascii="仿宋_GB2312" w:hAnsi="仿宋_GB2312" w:cs="仿宋_GB2312" w:eastAsia="仿宋_GB2312"/>
                <w:sz w:val="20"/>
              </w:rPr>
              <w:t>出具安全评估报告，为设计方案通过西安铁路局审查提供技术支撑。</w:t>
            </w:r>
            <w:r>
              <w:rPr>
                <w:rFonts w:ascii="仿宋_GB2312" w:hAnsi="仿宋_GB2312" w:cs="仿宋_GB2312" w:eastAsia="仿宋_GB2312"/>
                <w:sz w:val="20"/>
              </w:rPr>
              <w:t>安全评估报告应当包括下列主要内容：项目概述；对设计图纸进行法律法规符合性检查</w:t>
            </w:r>
            <w:r>
              <w:rPr>
                <w:rFonts w:ascii="仿宋_GB2312" w:hAnsi="仿宋_GB2312" w:cs="仿宋_GB2312" w:eastAsia="仿宋_GB2312"/>
                <w:sz w:val="20"/>
              </w:rPr>
              <w:t>、</w:t>
            </w:r>
            <w:r>
              <w:rPr>
                <w:rFonts w:ascii="仿宋_GB2312" w:hAnsi="仿宋_GB2312" w:cs="仿宋_GB2312" w:eastAsia="仿宋_GB2312"/>
                <w:sz w:val="20"/>
              </w:rPr>
              <w:t>标准规范符合性检查；涉铁节点对所在既有项目安全影响概述；数值计算分析；结论与建议等</w:t>
            </w:r>
            <w:r>
              <w:rPr>
                <w:rFonts w:ascii="仿宋_GB2312" w:hAnsi="仿宋_GB2312" w:cs="仿宋_GB2312" w:eastAsia="仿宋_GB2312"/>
                <w:sz w:val="20"/>
              </w:rPr>
              <w:t>。</w:t>
            </w:r>
          </w:p>
          <w:p>
            <w:pPr>
              <w:pStyle w:val="null3"/>
              <w:ind w:firstLine="420"/>
            </w:pPr>
            <w:r>
              <w:rPr>
                <w:rFonts w:ascii="仿宋_GB2312" w:hAnsi="仿宋_GB2312" w:cs="仿宋_GB2312" w:eastAsia="仿宋_GB2312"/>
                <w:sz w:val="20"/>
                <w:b/>
              </w:rPr>
              <w:t>3.</w:t>
            </w:r>
            <w:r>
              <w:rPr>
                <w:rFonts w:ascii="仿宋_GB2312" w:hAnsi="仿宋_GB2312" w:cs="仿宋_GB2312" w:eastAsia="仿宋_GB2312"/>
                <w:sz w:val="20"/>
                <w:b/>
              </w:rPr>
              <w:t>成果要求：</w:t>
            </w:r>
          </w:p>
          <w:p>
            <w:pPr>
              <w:pStyle w:val="null3"/>
              <w:ind w:firstLine="420"/>
            </w:pPr>
            <w:r>
              <w:rPr>
                <w:rFonts w:ascii="仿宋_GB2312" w:hAnsi="仿宋_GB2312" w:cs="仿宋_GB2312" w:eastAsia="仿宋_GB2312"/>
                <w:sz w:val="20"/>
              </w:rPr>
              <w:t>按照现行国家规范及相关文件，编制安全评估报告；提供全部纸质成果文件和电子成果文件。</w:t>
            </w:r>
          </w:p>
          <w:p>
            <w:pPr>
              <w:pStyle w:val="null3"/>
              <w:ind w:firstLine="402"/>
            </w:pPr>
            <w:r>
              <w:rPr>
                <w:rFonts w:ascii="仿宋_GB2312" w:hAnsi="仿宋_GB2312" w:cs="仿宋_GB2312" w:eastAsia="仿宋_GB2312"/>
                <w:sz w:val="20"/>
                <w:b/>
              </w:rPr>
              <w:t>4.</w:t>
            </w:r>
            <w:r>
              <w:rPr>
                <w:rFonts w:ascii="仿宋_GB2312" w:hAnsi="仿宋_GB2312" w:cs="仿宋_GB2312" w:eastAsia="仿宋_GB2312"/>
                <w:sz w:val="20"/>
                <w:b/>
              </w:rPr>
              <w:t>保密要求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供应商履行本项目过程中为采购人完成的所有工作成果为本合同的保密信息，供应商只能将其用于本项目履行之目的，未经采购人事先书面许可，供应商不得将其向任何第三方透露；</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供应商应采取一切措施确保其工作人员、关联企业、法律顾问等一切人员不以任何直接或间接的方式向供应商及采购人之外的任何第三方提供、泄露本项目规定的保密信息之全部或部分内容，若供应商或供应商所邀请或聘请之工作人员、关联企业、法律顾问等一切人员泄露了本项目规定的保密信息，供应商应向采购人承担全部赔偿责任。</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本项目不论因何原因终止之后，上述保密义务继续有效，直至本项目规定的全部保密信息已通过合法途径成为社会公众所知悉的信息后终止。</w:t>
            </w:r>
          </w:p>
          <w:p>
            <w:pPr>
              <w:pStyle w:val="null3"/>
              <w:jc w:val="left"/>
            </w:pPr>
            <w:r>
              <w:rPr>
                <w:rFonts w:ascii="仿宋_GB2312" w:hAnsi="仿宋_GB2312" w:cs="仿宋_GB2312" w:eastAsia="仿宋_GB2312"/>
                <w:sz w:val="20"/>
                <w:b/>
                <w:color w:val="000000"/>
              </w:rPr>
              <w:t>四、服务要求</w:t>
            </w:r>
          </w:p>
          <w:p>
            <w:pPr>
              <w:pStyle w:val="null3"/>
              <w:ind w:firstLine="402"/>
            </w:pPr>
            <w:r>
              <w:rPr>
                <w:rFonts w:ascii="仿宋_GB2312" w:hAnsi="仿宋_GB2312" w:cs="仿宋_GB2312" w:eastAsia="仿宋_GB2312"/>
                <w:sz w:val="20"/>
                <w:b/>
              </w:rPr>
              <w:t>1 执行标准</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《铁路桥涵设计规范》（</w:t>
            </w:r>
            <w:r>
              <w:rPr>
                <w:rFonts w:ascii="仿宋_GB2312" w:hAnsi="仿宋_GB2312" w:cs="仿宋_GB2312" w:eastAsia="仿宋_GB2312"/>
                <w:sz w:val="20"/>
              </w:rPr>
              <w:t>TB 10002-2017）；</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《铁路桥涵地基和基础设计规范》（</w:t>
            </w:r>
            <w:r>
              <w:rPr>
                <w:rFonts w:ascii="仿宋_GB2312" w:hAnsi="仿宋_GB2312" w:cs="仿宋_GB2312" w:eastAsia="仿宋_GB2312"/>
                <w:sz w:val="20"/>
              </w:rPr>
              <w:t>TB 10093-2017）；</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《铁路桥涵混凝土结构设计规范》（</w:t>
            </w:r>
            <w:r>
              <w:rPr>
                <w:rFonts w:ascii="仿宋_GB2312" w:hAnsi="仿宋_GB2312" w:cs="仿宋_GB2312" w:eastAsia="仿宋_GB2312"/>
                <w:sz w:val="20"/>
              </w:rPr>
              <w:t>TB 10092-2017）；</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《邻近铁路营业线施工安全监测技术规程》（</w:t>
            </w:r>
            <w:r>
              <w:rPr>
                <w:rFonts w:ascii="仿宋_GB2312" w:hAnsi="仿宋_GB2312" w:cs="仿宋_GB2312" w:eastAsia="仿宋_GB2312"/>
                <w:sz w:val="20"/>
              </w:rPr>
              <w:t>TB 10314-2021）；</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《铁路技术管理规程》（</w:t>
            </w:r>
            <w:r>
              <w:rPr>
                <w:rFonts w:ascii="仿宋_GB2312" w:hAnsi="仿宋_GB2312" w:cs="仿宋_GB2312" w:eastAsia="仿宋_GB2312"/>
                <w:sz w:val="20"/>
              </w:rPr>
              <w:t>TG/01A-2017）；</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《铁路安全管理条例》（国务院令第</w:t>
            </w:r>
            <w:r>
              <w:rPr>
                <w:rFonts w:ascii="仿宋_GB2312" w:hAnsi="仿宋_GB2312" w:cs="仿宋_GB2312" w:eastAsia="仿宋_GB2312"/>
                <w:sz w:val="20"/>
              </w:rPr>
              <w:t>639号）；</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《铁路营业线施工安全管理办法》（国铁运输监〔</w:t>
            </w:r>
            <w:r>
              <w:rPr>
                <w:rFonts w:ascii="仿宋_GB2312" w:hAnsi="仿宋_GB2312" w:cs="仿宋_GB2312" w:eastAsia="仿宋_GB2312"/>
                <w:sz w:val="20"/>
              </w:rPr>
              <w:t>2021〕31 号）；</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《公路与市政工程下穿高速铁路技术规程》（</w:t>
            </w:r>
            <w:r>
              <w:rPr>
                <w:rFonts w:ascii="仿宋_GB2312" w:hAnsi="仿宋_GB2312" w:cs="仿宋_GB2312" w:eastAsia="仿宋_GB2312"/>
                <w:sz w:val="20"/>
              </w:rPr>
              <w:t>TB 10182-2017）；</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《国铁集团工电部关于加强穿</w:t>
            </w:r>
            <w:r>
              <w:rPr>
                <w:rFonts w:ascii="仿宋_GB2312" w:hAnsi="仿宋_GB2312" w:cs="仿宋_GB2312" w:eastAsia="仿宋_GB2312"/>
                <w:sz w:val="20"/>
              </w:rPr>
              <w:t>(跨)越铁路营业线和邻近营业线工程方案等审查和施工安全管理的通知》（工电桥房函〔2020〕48号）；</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《西安局集团公司涉铁工程建设管理办法（试行）》（西铁科信</w:t>
            </w:r>
            <w:r>
              <w:rPr>
                <w:rFonts w:ascii="仿宋_GB2312" w:hAnsi="仿宋_GB2312" w:cs="仿宋_GB2312" w:eastAsia="仿宋_GB2312"/>
                <w:sz w:val="20"/>
              </w:rPr>
              <w:t>[2023]8号）；</w:t>
            </w:r>
          </w:p>
          <w:p>
            <w:pPr>
              <w:pStyle w:val="null3"/>
              <w:ind w:firstLine="420"/>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《西安局集团公司高速铁路营业线施工管理实施细则》（西铁施工〔</w:t>
            </w:r>
            <w:r>
              <w:rPr>
                <w:rFonts w:ascii="仿宋_GB2312" w:hAnsi="仿宋_GB2312" w:cs="仿宋_GB2312" w:eastAsia="仿宋_GB2312"/>
                <w:sz w:val="20"/>
              </w:rPr>
              <w:t>2021〕151号）；</w:t>
            </w:r>
          </w:p>
          <w:p>
            <w:pPr>
              <w:pStyle w:val="null3"/>
              <w:ind w:firstLine="400"/>
            </w:pPr>
            <w:r>
              <w:rPr>
                <w:rFonts w:ascii="仿宋_GB2312" w:hAnsi="仿宋_GB2312" w:cs="仿宋_GB2312" w:eastAsia="仿宋_GB2312"/>
                <w:sz w:val="20"/>
              </w:rPr>
              <w:t>按照国家铁路局、国家铁路集团及其他相关规程、规范和规定，提供安全评估服务，形成安全评估报告，为后期设计及施工提供科学依据；在实施过程中，如果国家或有关部门颁布了新的技术标准或规范，则供应商应采用新的标准或规范进行实施。</w:t>
            </w:r>
          </w:p>
          <w:p>
            <w:pPr>
              <w:pStyle w:val="null3"/>
              <w:jc w:val="left"/>
            </w:pPr>
            <w:r>
              <w:rPr>
                <w:rFonts w:ascii="仿宋_GB2312" w:hAnsi="仿宋_GB2312" w:cs="仿宋_GB2312" w:eastAsia="仿宋_GB2312"/>
                <w:sz w:val="20"/>
                <w:b/>
                <w:color w:val="000000"/>
              </w:rPr>
              <w:t>五</w:t>
            </w:r>
            <w:r>
              <w:rPr>
                <w:rFonts w:ascii="仿宋_GB2312" w:hAnsi="仿宋_GB2312" w:cs="仿宋_GB2312" w:eastAsia="仿宋_GB2312"/>
                <w:sz w:val="20"/>
                <w:b/>
                <w:color w:val="000000"/>
              </w:rPr>
              <w:t>、其他</w:t>
            </w:r>
          </w:p>
          <w:p>
            <w:pPr>
              <w:pStyle w:val="null3"/>
              <w:jc w:val="left"/>
            </w:pPr>
            <w:r>
              <w:rPr>
                <w:rFonts w:ascii="仿宋_GB2312" w:hAnsi="仿宋_GB2312" w:cs="仿宋_GB2312" w:eastAsia="仿宋_GB2312"/>
                <w:sz w:val="20"/>
                <w:b/>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1、设置1名项目负责人，具备丰富的经验，良好的沟通协调能力和团队合作精神，能够高效协同工作，确保项目有序运行； 2、团队要求：项目团队建立完善，岗位职责明确，人员充足，专业齐全，按各自岗位职责有序开展服务工作；确保项目有序运行。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设备配置满足本项目需求，包括但不限于配备执行项目所需的、计算机、软件、投影、打印机、复印机、照相机、出行车辆，安全帽、安全鞋、手电筒等。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1、为保证采购人利益，供应商须对采购人身份背景信息及所接项目保密； 2、供应商应保证其向采购人提交的安全评估报告不侵犯任何其他第三方的合法权益，供应商提交的安全评估报告侵犯他人合法权益的，供应商负责处理，给采购人造成损失的，供应商应承担赔偿责任。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自双方签订合同之日起30个日历日。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行业标准等，满足国家铁路局、国家铁路集团及其他相关规程、规范和规定，通过铁路主管部门审查。供应商提出验收申请之日起10日内组织验收，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完成所有安全评估服务，形成安全评估报告，通过铁路主管部门审查后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一、为顺利推进政府采购电子化交易平台试点应用工作，供应商需要在线提交所有通过电子化交易平台实施的政府采购项目的响应文件 二、供应商的磋商报价是供应商响应磋商项目要求的全部工作内容的价格体现，合同金额即中标价，合同价格为含税价，乙方提供服务所发生的一切费用（包括设计费、管理费、人工费、设计、服务及参加外出考察研究交流的差旅与研究费、驻场进行方案优化费用、图纸文本费、协助发包方完成各类专项评审的会议费用（包含专家费用）、招标代理服务费、利润、税金、风险及完成工作准备阶段、实施阶段、验收阶段等所需的全部费用。）等都已包含于合同价款中。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签名是指手写签名或加盖签名章(含电子)，盖章是指加盖单位章，总公司授权分公司或分支机构参与磋商，可以使用总公司的资质或业绩。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成交供应商在领取成交通知书时提供纸质版投标文件两套，应通过专用制作软件直接打印，确保与电子投标文件保持一致，不允许修改和补充。提交地点：陕西省西安市雁塔区雁翔路111号赛格·中京坊公寓A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注：1、按照《中华人民共和国政府采购法》有关规定，采购代理机构依法对投标人的资格进行审查，并组建资格审查小组。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提供2022年度或2023年度经审计的财务会计报告或其提交响应文件截止时间前3个月内银行出具的资信证明。（以上形式的资料提供任何一种即可） 要求： （1）供应商是企业法人的，应提供2022或2023全年度经审计的财务报告，包括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2022或2023全年度经审计的财务报告，至少包括 《资产负债表》《利润表》《现金流量表》及其附注，或者提交响应文件截止时间前3个月内其基本账户开户银行出具的资信证明（附基本存款账户信息）； （2）供应商是事业单位法人的，应提供2022或2023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合同包1(奥体大道西侧规划路（秦汉大道-林泓路）安全评估服务)特定资格要求如下</w:t>
            </w:r>
          </w:p>
        </w:tc>
        <w:tc>
          <w:tcPr>
            <w:tcW w:type="dxa" w:w="3322"/>
          </w:tcPr>
          <w:p>
            <w:pPr>
              <w:pStyle w:val="null3"/>
            </w:pPr>
            <w:r>
              <w:rPr>
                <w:rFonts w:ascii="仿宋_GB2312" w:hAnsi="仿宋_GB2312" w:cs="仿宋_GB2312" w:eastAsia="仿宋_GB2312"/>
              </w:rPr>
              <w:t>1、(1)供应商的营业执照等证明文件，自然人的身份证明；(2)法定代表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磋商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(11)具有建设行政主管部门核发的有效的工程设计综合甲级资质或工程设计铁道行业甲（II）级及以上资质；(12)拟派项目负责人具有相关专业高级工程师及以上职称；提供证书复印件。</w:t>
            </w:r>
          </w:p>
        </w:tc>
        <w:tc>
          <w:tcPr>
            <w:tcW w:type="dxa" w:w="1661"/>
          </w:tcPr>
          <w:p>
            <w:pPr>
              <w:pStyle w:val="null3"/>
            </w:pPr>
            <w:r>
              <w:rPr>
                <w:rFonts w:ascii="仿宋_GB2312" w:hAnsi="仿宋_GB2312" w:cs="仿宋_GB2312" w:eastAsia="仿宋_GB2312"/>
              </w:rPr>
              <w:t>响应文件封面 资格证明部分.docx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响应函 商务技术部分.docx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标的清单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标的清单 响应函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资格证明部分.docx 响应函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业绩（满分10分） 具有2021年1月1日至今的安全评估类业绩(以合同签订日期为准)，业绩以合同复印件为依据。每个业绩计2分，5个以上(含5个)计10分。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对本项目的总体认识，针对本项目的实施思路</w:t>
            </w:r>
          </w:p>
        </w:tc>
        <w:tc>
          <w:tcPr>
            <w:tcW w:type="dxa" w:w="2492"/>
          </w:tcPr>
          <w:p>
            <w:pPr>
              <w:pStyle w:val="null3"/>
            </w:pPr>
            <w:r>
              <w:rPr>
                <w:rFonts w:ascii="仿宋_GB2312" w:hAnsi="仿宋_GB2312" w:cs="仿宋_GB2312" w:eastAsia="仿宋_GB2312"/>
              </w:rPr>
              <w:t>对本项目的总体认识，针对本项目的实施思路（满分12分） （1）实施思路准确，表述清晰、严谨、合理得12分； （2）实施思路基本准确，表述基本清晰、严谨、合理得10分； （3）实施思路不够准确，表述不够清晰、严谨、合理得4分； （4）实施思路不能满足本项目需求，不合理，或者未提供实施思路得0分。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服务质量保障措施（满分12分） （1）内容完整，描述详尽，针对性、可行性强，完全满足项目需求的得12分； （2）内容比较完整，描述比较详尽，针对性、可行性一般，基本满足项目要求的得10分； （3）内容不完整，描述不详尽，针对性、可行性差的得4分； （4）内容不完整，描述混乱，没有针对性、没有可行性，不能满足项目要求，或未提供服务质量保障措施得0分。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重点、难度分析</w:t>
            </w:r>
          </w:p>
        </w:tc>
        <w:tc>
          <w:tcPr>
            <w:tcW w:type="dxa" w:w="2492"/>
          </w:tcPr>
          <w:p>
            <w:pPr>
              <w:pStyle w:val="null3"/>
            </w:pPr>
            <w:r>
              <w:rPr>
                <w:rFonts w:ascii="仿宋_GB2312" w:hAnsi="仿宋_GB2312" w:cs="仿宋_GB2312" w:eastAsia="仿宋_GB2312"/>
              </w:rPr>
              <w:t>重点、难度分析（满分5分） （1）重难点把握突出、技术建议叙述全面、合理得5分； （2）重难点把握基本突出、技术建议叙述基本全面、合理得3分； （3）重难点把握不够突出、技术建议叙述不够全面、合理得1分。 （4）重难点分析与本项目严重不符，或未提供重难点分析得0分。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后续支持服务</w:t>
            </w:r>
          </w:p>
        </w:tc>
        <w:tc>
          <w:tcPr>
            <w:tcW w:type="dxa" w:w="2492"/>
          </w:tcPr>
          <w:p>
            <w:pPr>
              <w:pStyle w:val="null3"/>
            </w:pPr>
            <w:r>
              <w:rPr>
                <w:rFonts w:ascii="仿宋_GB2312" w:hAnsi="仿宋_GB2312" w:cs="仿宋_GB2312" w:eastAsia="仿宋_GB2312"/>
              </w:rPr>
              <w:t>后续支持服务（满分5分） （1）后续支持服务方案科学合理，描述清晰，且能针对性满足项目需求的得5分； （2）后续支持服务方案合理，但陈述简单，缺乏针对性的得3分； （3）后续支持服务方案笼统的得1分；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服务方案（满分12分） （1）内容完整，描述详尽，针对性、可行性强，完全满足项目要求的得12分； （2）内容比较完整，描述比较详尽，针对性、可行性一般，基本满足项目要求的得10分； （3）内容不完整，描述不详尽，针对性、可行性差得4分； （4）内容严重缺失，描述混乱，无针对性、无可行性，或未提供服务方案得0分。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团队总体配置情况</w:t>
            </w:r>
          </w:p>
        </w:tc>
        <w:tc>
          <w:tcPr>
            <w:tcW w:type="dxa" w:w="2492"/>
          </w:tcPr>
          <w:p>
            <w:pPr>
              <w:pStyle w:val="null3"/>
            </w:pPr>
            <w:r>
              <w:rPr>
                <w:rFonts w:ascii="仿宋_GB2312" w:hAnsi="仿宋_GB2312" w:cs="仿宋_GB2312" w:eastAsia="仿宋_GB2312"/>
              </w:rPr>
              <w:t>团队总体配置情况（满分12分） （1）人员配备充足、合理，能够完全满足项目要求的得12分； （2）人员配备基本充足、合理，基本能够满足项目要求的得10分； （3）人员配备明显不充足、不合理的得4分； （4）没有配备人员得0分。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针对本项目的服务承诺</w:t>
            </w:r>
          </w:p>
        </w:tc>
        <w:tc>
          <w:tcPr>
            <w:tcW w:type="dxa" w:w="2492"/>
          </w:tcPr>
          <w:p>
            <w:pPr>
              <w:pStyle w:val="null3"/>
            </w:pPr>
            <w:r>
              <w:rPr>
                <w:rFonts w:ascii="仿宋_GB2312" w:hAnsi="仿宋_GB2312" w:cs="仿宋_GB2312" w:eastAsia="仿宋_GB2312"/>
              </w:rPr>
              <w:t>针对本项目的服务承诺（满分5分） （1）内容完整，描述详尽，针对性、可行性强，完全满足项目要求的得5分； （2）内容比较完整，描述比较详尽，针对性、可行性一般，基本满足项目要求的得3分； （3）内容不完整，描述不详尽，针对性、可行性差得1分； （4）内容描述混乱，无针对性、无可行性，或未提供服务承诺得0分。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针对本项目制定保密措施（满分5分） （1）保密措施科学合理，描述清晰，且能针对性满足项目需求的得5分； （2）保密措施合理，但陈述简单，缺乏针对性的得3分； （3）保密措施笼统的得1分；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进度安排（满分12分） （1）内容完整，描述详尽，针对性、可行性强，完全满足项目需求的得12分； （2）内容比较完整，描述比较详尽，针对性、可行性一般，基本满足项目要求的得10分； （3）内容不完整，描述不详尽，针对性、可行性差的得4分； （4）内容描述混乱，没有针对性、没有可行性，不能满足项目要求，或未提供进度安排得0分。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（1）按照财政部财库〔2014〕214号文件第二十四条和 财库〔2020〕46号文件的规定，采用低价优先法计算，以本次满足磋商文件要求的最终最低评审价为磋商基准价，其磋商报价为满分。其他供应商的价格分，统一按照下列公式计算： 磋商评审价=磋商最后报价×（1-磋商报价扣除幅度 ），磋商报价得分=(磋商基准价／磋商评审价)×10 ； （2）供应商报价扣除幅度如下：供应商提供的服务全部为小微企业提供的，给予磋商报价扣除10% 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