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94E55C">
      <w:pPr>
        <w:jc w:val="center"/>
        <w:rPr>
          <w:rFonts w:hint="eastAsia" w:ascii="仿宋" w:hAnsi="仿宋" w:eastAsia="仿宋" w:cs="仿宋"/>
          <w:b/>
          <w:sz w:val="24"/>
          <w:szCs w:val="24"/>
          <w:highlight w:val="none"/>
          <w:lang w:eastAsia="zh-CN"/>
        </w:rPr>
      </w:pPr>
    </w:p>
    <w:p w14:paraId="66DF6249">
      <w:pPr>
        <w:jc w:val="center"/>
        <w:rPr>
          <w:rFonts w:hint="eastAsia" w:ascii="仿宋" w:hAnsi="仿宋" w:eastAsia="仿宋" w:cs="仿宋"/>
          <w:b/>
          <w:sz w:val="24"/>
          <w:szCs w:val="24"/>
          <w:highlight w:val="none"/>
          <w:lang w:eastAsia="zh-CN"/>
        </w:rPr>
      </w:pPr>
    </w:p>
    <w:p w14:paraId="198FE1F6">
      <w:pPr>
        <w:jc w:val="center"/>
        <w:rPr>
          <w:rFonts w:hint="eastAsia" w:ascii="仿宋" w:hAnsi="仿宋" w:eastAsia="仿宋" w:cs="仿宋"/>
          <w:b/>
          <w:sz w:val="36"/>
          <w:szCs w:val="36"/>
          <w:highlight w:val="none"/>
          <w:lang w:eastAsia="zh-CN"/>
        </w:rPr>
      </w:pPr>
      <w:bookmarkStart w:id="0" w:name="_GoBack"/>
      <w:r>
        <w:rPr>
          <w:rFonts w:hint="eastAsia" w:ascii="仿宋" w:hAnsi="仿宋" w:eastAsia="仿宋" w:cs="仿宋"/>
          <w:b/>
          <w:sz w:val="36"/>
          <w:szCs w:val="36"/>
          <w:highlight w:val="none"/>
          <w:lang w:eastAsia="zh-CN"/>
        </w:rPr>
        <w:t>2025年病媒生物防制服务</w:t>
      </w:r>
    </w:p>
    <w:bookmarkEnd w:id="0"/>
    <w:p w14:paraId="2B36799B">
      <w:pPr>
        <w:jc w:val="center"/>
        <w:rPr>
          <w:rFonts w:hint="eastAsia" w:ascii="仿宋" w:hAnsi="仿宋" w:eastAsia="仿宋" w:cs="仿宋"/>
          <w:b/>
          <w:sz w:val="36"/>
          <w:szCs w:val="36"/>
          <w:highlight w:val="none"/>
          <w:lang w:eastAsia="zh-CN"/>
        </w:rPr>
      </w:pPr>
      <w:r>
        <w:rPr>
          <w:rFonts w:hint="eastAsia" w:ascii="仿宋" w:hAnsi="仿宋" w:eastAsia="仿宋" w:cs="仿宋"/>
          <w:b/>
          <w:sz w:val="36"/>
          <w:szCs w:val="36"/>
          <w:highlight w:val="none"/>
          <w:lang w:eastAsia="zh-CN"/>
        </w:rPr>
        <w:t>（采购包</w:t>
      </w:r>
      <w:r>
        <w:rPr>
          <w:rFonts w:hint="eastAsia" w:ascii="仿宋" w:hAnsi="仿宋" w:eastAsia="仿宋" w:cs="仿宋"/>
          <w:b/>
          <w:sz w:val="36"/>
          <w:szCs w:val="36"/>
          <w:highlight w:val="none"/>
          <w:u w:val="single"/>
          <w:lang w:eastAsia="zh-CN"/>
        </w:rPr>
        <w:t xml:space="preserve">  </w:t>
      </w:r>
      <w:r>
        <w:rPr>
          <w:rFonts w:hint="eastAsia" w:ascii="仿宋" w:hAnsi="仿宋" w:eastAsia="仿宋" w:cs="仿宋"/>
          <w:b/>
          <w:sz w:val="36"/>
          <w:szCs w:val="36"/>
          <w:highlight w:val="none"/>
          <w:u w:val="single"/>
          <w:lang w:val="en-US" w:eastAsia="zh-CN"/>
        </w:rPr>
        <w:t xml:space="preserve">   </w:t>
      </w:r>
      <w:r>
        <w:rPr>
          <w:rFonts w:hint="eastAsia" w:ascii="仿宋" w:hAnsi="仿宋" w:eastAsia="仿宋" w:cs="仿宋"/>
          <w:b/>
          <w:sz w:val="36"/>
          <w:szCs w:val="36"/>
          <w:highlight w:val="none"/>
          <w:u w:val="single"/>
          <w:lang w:eastAsia="zh-CN"/>
        </w:rPr>
        <w:t xml:space="preserve"> </w:t>
      </w:r>
      <w:r>
        <w:rPr>
          <w:rFonts w:hint="eastAsia" w:ascii="仿宋" w:hAnsi="仿宋" w:eastAsia="仿宋" w:cs="仿宋"/>
          <w:b/>
          <w:sz w:val="36"/>
          <w:szCs w:val="36"/>
          <w:highlight w:val="none"/>
          <w:lang w:eastAsia="zh-CN"/>
        </w:rPr>
        <w:t>）</w:t>
      </w:r>
    </w:p>
    <w:p w14:paraId="69917DA5">
      <w:pPr>
        <w:tabs>
          <w:tab w:val="left" w:pos="567"/>
        </w:tabs>
        <w:spacing w:before="120" w:after="200" w:line="22" w:lineRule="atLeast"/>
        <w:rPr>
          <w:rFonts w:hint="eastAsia" w:ascii="仿宋" w:hAnsi="仿宋" w:eastAsia="仿宋" w:cs="仿宋"/>
          <w:sz w:val="24"/>
          <w:szCs w:val="24"/>
          <w:highlight w:val="none"/>
          <w:lang w:val="en-US" w:eastAsia="zh-CN" w:bidi="ar-SA"/>
        </w:rPr>
      </w:pPr>
    </w:p>
    <w:p w14:paraId="7743278A">
      <w:pPr>
        <w:jc w:val="both"/>
        <w:rPr>
          <w:rFonts w:hint="eastAsia" w:ascii="仿宋" w:hAnsi="仿宋" w:eastAsia="仿宋" w:cs="仿宋"/>
          <w:b/>
          <w:sz w:val="24"/>
          <w:szCs w:val="24"/>
          <w:highlight w:val="none"/>
          <w:lang w:eastAsia="zh-CN"/>
        </w:rPr>
      </w:pPr>
    </w:p>
    <w:p w14:paraId="3BF45759">
      <w:pPr>
        <w:rPr>
          <w:rFonts w:hint="eastAsia" w:ascii="仿宋" w:hAnsi="仿宋" w:eastAsia="仿宋" w:cs="仿宋"/>
          <w:sz w:val="24"/>
          <w:szCs w:val="24"/>
          <w:highlight w:val="none"/>
          <w:lang w:eastAsia="zh-CN"/>
        </w:rPr>
      </w:pPr>
    </w:p>
    <w:p w14:paraId="45333573">
      <w:pPr>
        <w:jc w:val="center"/>
        <w:rPr>
          <w:rFonts w:hint="eastAsia" w:ascii="仿宋" w:hAnsi="仿宋" w:eastAsia="仿宋" w:cs="仿宋"/>
          <w:b/>
          <w:sz w:val="28"/>
          <w:szCs w:val="28"/>
          <w:highlight w:val="none"/>
          <w:lang w:eastAsia="zh-CN"/>
        </w:rPr>
      </w:pPr>
      <w:r>
        <w:rPr>
          <w:rFonts w:hint="eastAsia" w:ascii="仿宋" w:hAnsi="仿宋" w:eastAsia="仿宋" w:cs="仿宋"/>
          <w:b/>
          <w:sz w:val="28"/>
          <w:szCs w:val="28"/>
          <w:highlight w:val="none"/>
          <w:lang w:eastAsia="zh-CN"/>
        </w:rPr>
        <w:t>合 同 书</w:t>
      </w:r>
    </w:p>
    <w:p w14:paraId="5AFE4D69">
      <w:pPr>
        <w:jc w:val="center"/>
        <w:rPr>
          <w:rFonts w:hint="eastAsia" w:ascii="仿宋" w:hAnsi="仿宋" w:eastAsia="仿宋" w:cs="仿宋"/>
          <w:b/>
          <w:sz w:val="28"/>
          <w:szCs w:val="28"/>
          <w:highlight w:val="none"/>
          <w:lang w:eastAsia="zh-CN"/>
        </w:rPr>
      </w:pPr>
      <w:r>
        <w:rPr>
          <w:rFonts w:hint="eastAsia" w:ascii="仿宋" w:hAnsi="仿宋" w:eastAsia="仿宋" w:cs="仿宋"/>
          <w:b/>
          <w:sz w:val="28"/>
          <w:szCs w:val="28"/>
          <w:highlight w:val="none"/>
          <w:lang w:eastAsia="zh-CN"/>
        </w:rPr>
        <w:t>（合同模板，仅供参考）</w:t>
      </w:r>
    </w:p>
    <w:p w14:paraId="4BAC313A">
      <w:pPr>
        <w:rPr>
          <w:rFonts w:hint="eastAsia" w:ascii="仿宋" w:hAnsi="仿宋" w:eastAsia="仿宋" w:cs="仿宋"/>
          <w:sz w:val="28"/>
          <w:szCs w:val="28"/>
          <w:highlight w:val="none"/>
          <w:lang w:eastAsia="zh-CN"/>
        </w:rPr>
      </w:pPr>
    </w:p>
    <w:p w14:paraId="24D48949">
      <w:pPr>
        <w:rPr>
          <w:rFonts w:hint="eastAsia" w:ascii="仿宋" w:hAnsi="仿宋" w:eastAsia="仿宋" w:cs="仿宋"/>
          <w:sz w:val="28"/>
          <w:szCs w:val="28"/>
          <w:highlight w:val="none"/>
          <w:lang w:eastAsia="zh-CN"/>
        </w:rPr>
      </w:pPr>
    </w:p>
    <w:p w14:paraId="47AA75CC">
      <w:pPr>
        <w:spacing w:line="360" w:lineRule="auto"/>
        <w:jc w:val="both"/>
        <w:rPr>
          <w:rFonts w:hint="eastAsia" w:ascii="仿宋" w:hAnsi="仿宋" w:eastAsia="仿宋" w:cs="仿宋"/>
          <w:b/>
          <w:spacing w:val="23"/>
          <w:sz w:val="28"/>
          <w:szCs w:val="28"/>
          <w:highlight w:val="none"/>
          <w:lang w:eastAsia="zh-CN"/>
        </w:rPr>
      </w:pPr>
    </w:p>
    <w:p w14:paraId="7355C9A2">
      <w:pPr>
        <w:spacing w:line="360" w:lineRule="auto"/>
        <w:ind w:left="1469" w:hanging="1308" w:hangingChars="400"/>
        <w:jc w:val="center"/>
        <w:rPr>
          <w:rFonts w:hint="eastAsia" w:ascii="仿宋" w:hAnsi="仿宋" w:eastAsia="仿宋" w:cs="仿宋"/>
          <w:b/>
          <w:spacing w:val="23"/>
          <w:sz w:val="28"/>
          <w:szCs w:val="28"/>
          <w:highlight w:val="none"/>
          <w:lang w:eastAsia="zh-CN"/>
        </w:rPr>
      </w:pPr>
      <w:r>
        <w:rPr>
          <w:rFonts w:hint="eastAsia" w:ascii="仿宋" w:hAnsi="仿宋" w:eastAsia="仿宋" w:cs="仿宋"/>
          <w:b/>
          <w:spacing w:val="23"/>
          <w:sz w:val="28"/>
          <w:szCs w:val="28"/>
          <w:highlight w:val="none"/>
          <w:lang w:eastAsia="zh-CN"/>
        </w:rPr>
        <w:t xml:space="preserve">  甲方(采购人)：</w:t>
      </w:r>
      <w:r>
        <w:rPr>
          <w:rFonts w:hint="eastAsia" w:ascii="仿宋" w:hAnsi="仿宋" w:eastAsia="仿宋" w:cs="仿宋"/>
          <w:spacing w:val="23"/>
          <w:sz w:val="28"/>
          <w:szCs w:val="28"/>
          <w:highlight w:val="none"/>
          <w:u w:val="single"/>
          <w:lang w:eastAsia="zh-CN"/>
        </w:rPr>
        <w:t>      </w:t>
      </w:r>
    </w:p>
    <w:p w14:paraId="722ECF5C">
      <w:pPr>
        <w:spacing w:line="360" w:lineRule="auto"/>
        <w:ind w:left="880" w:hanging="1120" w:hangingChars="400"/>
        <w:jc w:val="center"/>
        <w:rPr>
          <w:rFonts w:hint="eastAsia" w:ascii="仿宋" w:hAnsi="仿宋" w:eastAsia="仿宋" w:cs="仿宋"/>
          <w:spacing w:val="23"/>
          <w:sz w:val="28"/>
          <w:szCs w:val="28"/>
          <w:highlight w:val="none"/>
          <w:u w:val="single"/>
          <w:lang w:eastAsia="zh-CN"/>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b/>
          <w:spacing w:val="23"/>
          <w:sz w:val="28"/>
          <w:szCs w:val="28"/>
          <w:highlight w:val="none"/>
          <w:lang w:eastAsia="zh-CN"/>
        </w:rPr>
        <w:t>乙方</w:t>
      </w:r>
      <w:r>
        <w:rPr>
          <w:rFonts w:hint="eastAsia" w:ascii="仿宋" w:hAnsi="仿宋" w:eastAsia="仿宋" w:cs="仿宋"/>
          <w:b/>
          <w:spacing w:val="23"/>
          <w:sz w:val="28"/>
          <w:szCs w:val="28"/>
          <w:highlight w:val="none"/>
          <w:lang w:eastAsia="zh-CN"/>
        </w:rPr>
        <w:fldChar w:fldCharType="end"/>
      </w:r>
      <w:r>
        <w:rPr>
          <w:rFonts w:hint="eastAsia" w:ascii="仿宋" w:hAnsi="仿宋" w:eastAsia="仿宋" w:cs="仿宋"/>
          <w:b/>
          <w:spacing w:val="23"/>
          <w:sz w:val="28"/>
          <w:szCs w:val="28"/>
          <w:highlight w:val="none"/>
          <w:lang w:eastAsia="zh-CN"/>
        </w:rPr>
        <w:t>(供应商)：</w:t>
      </w:r>
      <w:r>
        <w:rPr>
          <w:rFonts w:hint="eastAsia" w:ascii="仿宋" w:hAnsi="仿宋" w:eastAsia="仿宋" w:cs="仿宋"/>
          <w:spacing w:val="23"/>
          <w:sz w:val="28"/>
          <w:szCs w:val="28"/>
          <w:highlight w:val="none"/>
          <w:u w:val="single"/>
          <w:lang w:eastAsia="zh-CN"/>
        </w:rPr>
        <w:t></w:t>
      </w:r>
    </w:p>
    <w:p w14:paraId="56A6D5F7">
      <w:pPr>
        <w:tabs>
          <w:tab w:val="left" w:pos="1995"/>
        </w:tabs>
        <w:spacing w:line="360" w:lineRule="auto"/>
        <w:ind w:left="1469" w:hanging="1308" w:hangingChars="400"/>
        <w:jc w:val="center"/>
        <w:rPr>
          <w:rFonts w:hint="eastAsia" w:ascii="仿宋" w:hAnsi="仿宋" w:eastAsia="仿宋" w:cs="仿宋"/>
          <w:bCs/>
          <w:sz w:val="28"/>
          <w:szCs w:val="28"/>
          <w:highlight w:val="none"/>
          <w:lang w:eastAsia="zh-CN"/>
        </w:rPr>
      </w:pPr>
      <w:r>
        <w:rPr>
          <w:rFonts w:hint="eastAsia" w:ascii="仿宋" w:hAnsi="仿宋" w:eastAsia="仿宋" w:cs="仿宋"/>
          <w:b/>
          <w:spacing w:val="23"/>
          <w:sz w:val="28"/>
          <w:szCs w:val="28"/>
          <w:highlight w:val="none"/>
          <w:lang w:eastAsia="zh-CN"/>
        </w:rPr>
        <w:t>签订时间：</w:t>
      </w:r>
      <w:r>
        <w:rPr>
          <w:rFonts w:hint="eastAsia" w:ascii="仿宋" w:hAnsi="仿宋" w:eastAsia="仿宋" w:cs="仿宋"/>
          <w:spacing w:val="23"/>
          <w:sz w:val="28"/>
          <w:szCs w:val="28"/>
          <w:highlight w:val="none"/>
          <w:u w:val="single"/>
          <w:lang w:eastAsia="zh-CN"/>
        </w:rPr>
        <w:t></w:t>
      </w:r>
      <w:r>
        <w:rPr>
          <w:rFonts w:hint="eastAsia" w:ascii="仿宋" w:hAnsi="仿宋" w:eastAsia="仿宋" w:cs="仿宋"/>
          <w:b/>
          <w:spacing w:val="23"/>
          <w:sz w:val="28"/>
          <w:szCs w:val="28"/>
          <w:highlight w:val="none"/>
          <w:lang w:eastAsia="zh-CN"/>
        </w:rPr>
        <w:t>年</w:t>
      </w:r>
      <w:r>
        <w:rPr>
          <w:rFonts w:hint="eastAsia" w:ascii="仿宋" w:hAnsi="仿宋" w:eastAsia="仿宋" w:cs="仿宋"/>
          <w:spacing w:val="23"/>
          <w:sz w:val="28"/>
          <w:szCs w:val="28"/>
          <w:highlight w:val="none"/>
          <w:u w:val="single"/>
          <w:lang w:eastAsia="zh-CN"/>
        </w:rPr>
        <w:t></w:t>
      </w:r>
      <w:r>
        <w:rPr>
          <w:rFonts w:hint="eastAsia" w:ascii="仿宋" w:hAnsi="仿宋" w:eastAsia="仿宋" w:cs="仿宋"/>
          <w:b/>
          <w:spacing w:val="23"/>
          <w:sz w:val="28"/>
          <w:szCs w:val="28"/>
          <w:highlight w:val="none"/>
          <w:lang w:eastAsia="zh-CN"/>
        </w:rPr>
        <w:t>月</w:t>
      </w:r>
      <w:r>
        <w:rPr>
          <w:rFonts w:hint="eastAsia" w:ascii="仿宋" w:hAnsi="仿宋" w:eastAsia="仿宋" w:cs="仿宋"/>
          <w:spacing w:val="23"/>
          <w:sz w:val="28"/>
          <w:szCs w:val="28"/>
          <w:highlight w:val="none"/>
          <w:u w:val="single"/>
          <w:lang w:eastAsia="zh-CN"/>
        </w:rPr>
        <w:t></w:t>
      </w:r>
      <w:r>
        <w:rPr>
          <w:rFonts w:hint="eastAsia" w:ascii="仿宋" w:hAnsi="仿宋" w:eastAsia="仿宋" w:cs="仿宋"/>
          <w:b/>
          <w:spacing w:val="23"/>
          <w:sz w:val="28"/>
          <w:szCs w:val="28"/>
          <w:highlight w:val="none"/>
          <w:lang w:eastAsia="zh-CN"/>
        </w:rPr>
        <w:t>日</w:t>
      </w:r>
    </w:p>
    <w:p w14:paraId="381B9DCF">
      <w:pPr>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br w:type="page"/>
      </w:r>
    </w:p>
    <w:p w14:paraId="1637C3FF">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采购人（以下简称甲方）：</w:t>
      </w:r>
    </w:p>
    <w:p w14:paraId="7A2BBE31">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供应商（以下简称乙方）：</w:t>
      </w:r>
    </w:p>
    <w:p w14:paraId="1866B2CC">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根据《中华人民共和国民法典》、《中华人民共和国政府采购法》及其它有关法律、行政法规，为明确双方在施工过程中的权利、义务，经双方协商自愿签订本合同。</w:t>
      </w:r>
    </w:p>
    <w:p w14:paraId="0618801B">
      <w:pPr>
        <w:widowControl w:val="0"/>
        <w:spacing w:after="0"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一、合同组成</w:t>
      </w:r>
    </w:p>
    <w:p w14:paraId="6E3F21D1">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1.下述文件是构成本合同不可分割的部分:</w:t>
      </w:r>
    </w:p>
    <w:p w14:paraId="52666B09">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（1）本合同条款及其所有附件。</w:t>
      </w:r>
    </w:p>
    <w:p w14:paraId="4926AA1F">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（2）甲方的磋商文件及澄清文件。</w:t>
      </w:r>
    </w:p>
    <w:p w14:paraId="26C19B36">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（3）乙方的磋商响应文件及质疑解答文件。</w:t>
      </w:r>
    </w:p>
    <w:p w14:paraId="341477B3">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（4）成交通知书。</w:t>
      </w:r>
    </w:p>
    <w:p w14:paraId="119058DA">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（5）法定代表人授权书。</w:t>
      </w:r>
    </w:p>
    <w:p w14:paraId="6EB2D942">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（6）双方与合同有关的往来信函、传真经双方法定代表人或其授权代表签字并加盖单位公章确认后视为本合同的组成部分。</w:t>
      </w:r>
    </w:p>
    <w:p w14:paraId="72A198E3">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（7）经双方法定代表人或其授权代表签字并加盖单位公章确认的补充协议。</w:t>
      </w:r>
    </w:p>
    <w:p w14:paraId="183EF27F">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如果乙方的磋商响应文件及质疑解答文件内容违背或低于甲方磋商文件要求或任何可能导致影响当次采购目的的情形，均应当被视为乙方自动放弃磋商响应文件及质疑解答文件中相应部分而同意以磋商文件相应内容为准。如果乙方的磋商响应文件及质疑解答文件内容高于甲方磋商文件要求，则以乙方的磋商响应文件及质疑解答文件内容为准。如果合同条款与合同附件有矛盾之处，以合同条款内容为准。如果合同附件之间有矛盾之处，以有利于甲方的附件内容为准。</w:t>
      </w:r>
    </w:p>
    <w:p w14:paraId="05FED44E">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上述合同文件应能够相互解释、相互说明。如合同文件之间出现不一致，除本合同另有约定外，第（1）款至（6）款的排列顺序就是合同文件的优先解释顺序。对于第（7）款中双方达成的补充协议与原合同（包括（1）-（6）款中所列的所有文件）存在不一致，以签订日期在后的补充协议为准。</w:t>
      </w:r>
    </w:p>
    <w:p w14:paraId="3DB75E5C">
      <w:pPr>
        <w:widowControl w:val="0"/>
        <w:spacing w:after="0"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二、项目概况</w:t>
      </w:r>
    </w:p>
    <w:p w14:paraId="55120B60">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1.服务内容：2025年病媒生物防制服务</w:t>
      </w:r>
    </w:p>
    <w:p w14:paraId="48C0E403">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2.服务期：自合同签订之日起1年</w:t>
      </w:r>
    </w:p>
    <w:p w14:paraId="7A61F7D8">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3.服务地点：</w:t>
      </w:r>
      <w:r>
        <w:rPr>
          <w:rFonts w:hint="eastAsia" w:ascii="仿宋" w:hAnsi="仿宋" w:eastAsia="仿宋" w:cs="仿宋"/>
          <w:sz w:val="24"/>
          <w:szCs w:val="24"/>
          <w:highlight w:val="none"/>
          <w:lang w:val="en-US" w:eastAsia="zh-CN"/>
        </w:rPr>
        <w:t>甲方</w:t>
      </w:r>
      <w:r>
        <w:rPr>
          <w:rFonts w:hint="eastAsia" w:ascii="仿宋" w:hAnsi="仿宋" w:eastAsia="仿宋" w:cs="仿宋"/>
          <w:sz w:val="24"/>
          <w:szCs w:val="24"/>
          <w:highlight w:val="none"/>
          <w:lang w:eastAsia="zh-CN"/>
        </w:rPr>
        <w:t>指定地点</w:t>
      </w:r>
    </w:p>
    <w:p w14:paraId="0B0C58A4">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4.质量要求：必须达到国家爱卫会标准及行业规范和管理。</w:t>
      </w:r>
    </w:p>
    <w:p w14:paraId="7BFBBBE0">
      <w:pPr>
        <w:widowControl w:val="0"/>
        <w:spacing w:after="0"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三、合同价款及付款比例</w:t>
      </w:r>
    </w:p>
    <w:p w14:paraId="5ACB06CB">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1.合同价款：合同为固定总价合同。</w:t>
      </w:r>
    </w:p>
    <w:p w14:paraId="5E3C48F9">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合同总价款人民币（大写）</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元，（小写）</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元。</w:t>
      </w:r>
    </w:p>
    <w:p w14:paraId="17C532A7">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合同价款包括但</w:t>
      </w:r>
      <w:r>
        <w:rPr>
          <w:rFonts w:hint="eastAsia" w:ascii="仿宋" w:hAnsi="仿宋" w:eastAsia="仿宋" w:cs="仿宋"/>
          <w:sz w:val="24"/>
          <w:szCs w:val="24"/>
          <w:highlight w:val="none"/>
          <w:lang w:eastAsia="zh-CN"/>
        </w:rPr>
        <w:t>包括但不限于提供项目实施费、</w:t>
      </w:r>
      <w:r>
        <w:rPr>
          <w:rFonts w:hint="eastAsia" w:ascii="仿宋" w:hAnsi="仿宋" w:eastAsia="仿宋" w:cs="仿宋"/>
          <w:sz w:val="24"/>
          <w:szCs w:val="24"/>
          <w:highlight w:val="none"/>
          <w:lang w:eastAsia="zh-CN"/>
        </w:rPr>
        <w:t>设备器材费&lt;包含损耗&gt;</w:t>
      </w:r>
      <w:r>
        <w:rPr>
          <w:rFonts w:hint="eastAsia" w:ascii="仿宋" w:hAnsi="仿宋" w:eastAsia="仿宋" w:cs="仿宋"/>
          <w:sz w:val="24"/>
          <w:szCs w:val="24"/>
          <w:highlight w:val="none"/>
          <w:lang w:eastAsia="zh-CN"/>
        </w:rPr>
        <w:t>、培训费、人工费、材料费、管理费、</w:t>
      </w:r>
      <w:r>
        <w:rPr>
          <w:rFonts w:hint="eastAsia" w:ascii="仿宋" w:hAnsi="仿宋" w:eastAsia="仿宋" w:cs="仿宋"/>
          <w:sz w:val="24"/>
          <w:szCs w:val="24"/>
          <w:highlight w:val="none"/>
          <w:lang w:eastAsia="zh-CN"/>
        </w:rPr>
        <w:t>交通费</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lang w:eastAsia="zh-CN"/>
        </w:rPr>
        <w:t>应缴纳的所有税费、规费、保险费（如果有）、安装费、</w:t>
      </w:r>
      <w:r>
        <w:rPr>
          <w:rFonts w:hint="eastAsia" w:ascii="仿宋" w:hAnsi="仿宋" w:eastAsia="仿宋" w:cs="仿宋"/>
          <w:sz w:val="24"/>
          <w:szCs w:val="24"/>
          <w:highlight w:val="none"/>
          <w:lang w:eastAsia="zh-CN"/>
        </w:rPr>
        <w:t>验收费用以及市场风险</w:t>
      </w:r>
      <w:r>
        <w:rPr>
          <w:rFonts w:hint="eastAsia" w:ascii="仿宋" w:hAnsi="仿宋" w:eastAsia="仿宋" w:cs="仿宋"/>
          <w:sz w:val="24"/>
          <w:szCs w:val="24"/>
          <w:highlight w:val="none"/>
          <w:lang w:eastAsia="zh-CN"/>
        </w:rPr>
        <w:t>等全部费用</w:t>
      </w:r>
      <w:r>
        <w:rPr>
          <w:rFonts w:hint="eastAsia" w:ascii="仿宋" w:hAnsi="仿宋" w:eastAsia="仿宋" w:cs="仿宋"/>
          <w:sz w:val="24"/>
          <w:szCs w:val="24"/>
          <w:highlight w:val="none"/>
          <w:lang w:eastAsia="zh-CN"/>
        </w:rPr>
        <w:t>。该价格不因任何因素变化而调整。</w:t>
      </w:r>
    </w:p>
    <w:p w14:paraId="0BB15F71">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2.付款方式：</w:t>
      </w:r>
    </w:p>
    <w:p w14:paraId="46C6D080">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2.1预付款支付条款：</w:t>
      </w:r>
    </w:p>
    <w:p w14:paraId="65281519">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（1）本合同设置预付款：</w:t>
      </w:r>
    </w:p>
    <w:p w14:paraId="79804AAC">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（2）预付款金额：合同签订后预付合同总价款的40%；</w:t>
      </w:r>
    </w:p>
    <w:p w14:paraId="7E6A027D">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（3）预付款支付条件：合同签订后；</w:t>
      </w:r>
    </w:p>
    <w:p w14:paraId="3CC27EDF">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4）其他：本项目预付款是根据政府采购相关政策规定要求，甲方为帮助乙方解决项目前期启动资金困难，保证乙方更有条件覆行合同的保障性支援性资金。乙方应保证该资金用于项目前期各项工作费用，不得挪作他用，若因此项目进展受到影响，乙方承担由此引起的所有责任。</w:t>
      </w:r>
    </w:p>
    <w:p w14:paraId="0CACFD60">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2.2剩余款项支付条款：</w:t>
      </w:r>
    </w:p>
    <w:p w14:paraId="63482357">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服务期结束后，并经甲方验收合格后，</w:t>
      </w:r>
      <w:r>
        <w:rPr>
          <w:rFonts w:hint="eastAsia" w:ascii="仿宋" w:hAnsi="仿宋" w:eastAsia="仿宋" w:cs="仿宋"/>
          <w:sz w:val="24"/>
          <w:szCs w:val="24"/>
          <w:highlight w:val="none"/>
          <w:lang w:val="en-US" w:eastAsia="zh-CN"/>
        </w:rPr>
        <w:t>甲方</w:t>
      </w:r>
      <w:r>
        <w:rPr>
          <w:rFonts w:hint="eastAsia" w:ascii="仿宋" w:hAnsi="仿宋" w:eastAsia="仿宋" w:cs="仿宋"/>
          <w:sz w:val="24"/>
          <w:szCs w:val="24"/>
          <w:highlight w:val="none"/>
          <w:lang w:eastAsia="zh-CN"/>
        </w:rPr>
        <w:t>在60日内将剩余合同总金额的60%一次性支付给</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lang w:eastAsia="zh-CN"/>
        </w:rPr>
        <w:t>。</w:t>
      </w:r>
    </w:p>
    <w:p w14:paraId="590BF8A3">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注：乙方应向甲方出具符合国家财税规定的增值税发票，否则甲方有权延迟履行付款义务。如因乙方缘故（如开具增值税发票延误等）导致甲方无法按时付款，甲方不承担违约责任。如遇突发事件，付款日期则以实际付款日期为准。</w:t>
      </w:r>
    </w:p>
    <w:p w14:paraId="126961DD">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3.乙方开户银行指定账户为：</w:t>
      </w:r>
    </w:p>
    <w:p w14:paraId="3BA0987D">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收款人：</w:t>
      </w:r>
    </w:p>
    <w:p w14:paraId="22C75B2E">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开户行：</w:t>
      </w:r>
    </w:p>
    <w:p w14:paraId="1512444F">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账号：</w:t>
      </w:r>
    </w:p>
    <w:p w14:paraId="308946BA">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4.甲方付款前，乙方应向甲方开具正式等额发票，否则甲方有权延迟履行付款义务。</w:t>
      </w:r>
    </w:p>
    <w:p w14:paraId="51D53C60">
      <w:pPr>
        <w:adjustRightInd w:val="0"/>
        <w:snapToGrid w:val="0"/>
        <w:spacing w:after="0" w:line="360" w:lineRule="auto"/>
        <w:ind w:firstLine="482" w:firstLineChars="200"/>
        <w:rPr>
          <w:rFonts w:hint="eastAsia" w:ascii="仿宋" w:hAnsi="仿宋" w:eastAsia="仿宋" w:cs="仿宋"/>
          <w:sz w:val="24"/>
          <w:szCs w:val="24"/>
          <w:highlight w:val="none"/>
          <w:lang w:eastAsia="zh-CN"/>
        </w:rPr>
      </w:pPr>
      <w:r>
        <w:rPr>
          <w:rFonts w:hint="eastAsia" w:ascii="仿宋" w:hAnsi="仿宋" w:eastAsia="仿宋" w:cs="仿宋"/>
          <w:b/>
          <w:sz w:val="24"/>
          <w:szCs w:val="24"/>
          <w:highlight w:val="none"/>
        </w:rPr>
        <w:t>四、</w:t>
      </w:r>
      <w:r>
        <w:rPr>
          <w:rFonts w:hint="eastAsia" w:ascii="仿宋" w:hAnsi="仿宋" w:eastAsia="仿宋" w:cs="仿宋"/>
          <w:sz w:val="24"/>
          <w:szCs w:val="24"/>
          <w:highlight w:val="none"/>
          <w:lang w:eastAsia="zh-CN"/>
        </w:rPr>
        <w:t>乙方：本项目拟派</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为负责人，联系电话：</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，身份证号：</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w:t>
      </w:r>
    </w:p>
    <w:p w14:paraId="2B44D6D0">
      <w:pPr>
        <w:adjustRightInd w:val="0"/>
        <w:snapToGrid w:val="0"/>
        <w:spacing w:after="0"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五、甲方的主要责任和权利</w:t>
      </w:r>
    </w:p>
    <w:p w14:paraId="16C5D670">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1.甲方有权享有乙方按照上述约定提供的服务。</w:t>
      </w:r>
    </w:p>
    <w:p w14:paraId="2E95B8D6">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6559B2C6">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3.甲方有权根据服务要求和标准考评乙方服务质量，如乙方提供的服务考评不合格或不符合约定的，甲方有权按照一定比例减少支付服务费用， 具体减付比例结合乙方提供服务未达到约定的范围，严重程度、给甲方造成的损失情况等确定。</w:t>
      </w:r>
    </w:p>
    <w:p w14:paraId="7F7D77C7">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4.除本合同约定的服务费用外，乙方不得向甲方及其甲方人员收取其他任何费用，如甲方发现乙方有此类行为，甲方有权要求乙方清退所收费用， 退还利息并支付违约金；</w:t>
      </w:r>
    </w:p>
    <w:p w14:paraId="71B0850F">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5.在服务实施过程中，甲方应为乙方提供必要的工作便利与指导，配合乙方履行职责。</w:t>
      </w:r>
    </w:p>
    <w:p w14:paraId="01D3C259">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6.甲方不得将本合同的内容向甲乙双方以外的、与签订和履行本合同无关的任何第三方透露，不得泄露乙方的商业秘密（包括本合同及其附件和合同签订前的各项方案） 。</w:t>
      </w:r>
    </w:p>
    <w:p w14:paraId="69F7C316">
      <w:pPr>
        <w:adjustRightInd w:val="0"/>
        <w:snapToGrid w:val="0"/>
        <w:spacing w:after="0"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六、乙方的主要责任和权利</w:t>
      </w:r>
    </w:p>
    <w:p w14:paraId="2F7F9DCC">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1.乙方必须具有履行本合同书所需的技能，必须按照相关的职业准则完成其全部职责。</w:t>
      </w:r>
    </w:p>
    <w:p w14:paraId="20FFECF0">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2.乙方应根据本合同的约定提交相关文件、资料。</w:t>
      </w:r>
    </w:p>
    <w:p w14:paraId="6F3AC777">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3.解答甲方提出的与项目有关的询问，接受甲方监督和检查。</w:t>
      </w:r>
    </w:p>
    <w:p w14:paraId="1E4223A5">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4.乙方应根据本合同的约定提供服务并提交工作成果，确保服务质量。</w:t>
      </w:r>
    </w:p>
    <w:p w14:paraId="4410D9B2">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5.乙方人员服务期中发生任何安全问题均与甲方无关。</w:t>
      </w:r>
    </w:p>
    <w:p w14:paraId="52BB34E4">
      <w:pPr>
        <w:adjustRightInd w:val="0"/>
        <w:snapToGrid w:val="0"/>
        <w:spacing w:after="0"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七、知识产权</w:t>
      </w:r>
    </w:p>
    <w:p w14:paraId="0D463597">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乙方在为甲方提供服务时所获得或形成成果的知识产权归甲方所有，未经甲方许可，乙方不得以任何方式使用，亦不得出于任何目的向第三方披露或许可第三方使用。主要以该项目形成的成果参加各类评奖，应经甲方书面同意，与甲方共同申报。</w:t>
      </w:r>
    </w:p>
    <w:p w14:paraId="2E1E0487">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2.若乙方在为甲方提供服务时侵犯了第三人的权利，致使甲方受到索赔或起诉，由此给甲方造成的一切损失由乙方承担，同时甲方有权解除合同，同时乙方及时消除不良影响。</w:t>
      </w:r>
    </w:p>
    <w:p w14:paraId="7CD26D4F">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3.若未经甲方许可，乙方擅自使用或向第三方披露或许可第三方使用在为甲方提供服务时所获得的成果，甲方有权要求乙方或第三方停止侵权，并承担以此带来的所有损失，同时消除不良影响。</w:t>
      </w:r>
    </w:p>
    <w:p w14:paraId="39A00DCB">
      <w:pPr>
        <w:adjustRightInd w:val="0"/>
        <w:snapToGrid w:val="0"/>
        <w:spacing w:after="0"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八、验收</w:t>
      </w:r>
    </w:p>
    <w:p w14:paraId="07FA1465">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验收时间：项目完成后</w:t>
      </w:r>
    </w:p>
    <w:p w14:paraId="465F751A">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质量标准：达到国家爱卫会标准及行业规范和管理。</w:t>
      </w:r>
    </w:p>
    <w:p w14:paraId="06551A7A">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验收合格条件：符合国家标准和技术规格书及合同要求，符合竞争性磋商文件、成交供应商的磋商文件、澄清文件和成交通知书的要求等,乙方应严格按照上述及</w:t>
      </w:r>
      <w:r>
        <w:rPr>
          <w:rFonts w:hint="eastAsia" w:ascii="仿宋" w:hAnsi="仿宋" w:eastAsia="仿宋" w:cs="仿宋"/>
          <w:sz w:val="24"/>
          <w:szCs w:val="24"/>
          <w:highlight w:val="none"/>
          <w:lang w:val="en-US" w:eastAsia="zh-CN"/>
        </w:rPr>
        <w:t>甲方</w:t>
      </w:r>
      <w:r>
        <w:rPr>
          <w:rFonts w:hint="eastAsia" w:ascii="仿宋" w:hAnsi="仿宋" w:eastAsia="仿宋" w:cs="仿宋"/>
          <w:sz w:val="24"/>
          <w:szCs w:val="24"/>
          <w:highlight w:val="none"/>
          <w:lang w:eastAsia="zh-CN"/>
        </w:rPr>
        <w:t>要求实施项目服务，甲方有权对服务质量进行评估，若服务评估结果不合格，乙方应负责无偿予以重测或采取补救措施，以达到质量要求。若返工后还无法通过验收，甲方有权单方解除合同，并追回所付项目款。</w:t>
      </w:r>
    </w:p>
    <w:p w14:paraId="6DD3EC75">
      <w:pPr>
        <w:adjustRightInd w:val="0"/>
        <w:snapToGrid w:val="0"/>
        <w:spacing w:after="0"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九、保密</w:t>
      </w:r>
    </w:p>
    <w:p w14:paraId="1E61F608">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1.在本合同的履行期内，乙方获得与本项目相关的信息（包括获得的资料及成果等），应当采取适当有效的方式保护，不得未经授权使用、传播或公开。</w:t>
      </w:r>
    </w:p>
    <w:p w14:paraId="6055BA62">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2.乙方在项目实施过程中接触或产生涉密数据的，应严格按《中华人民共和国保守国家秘密法》以及其他相关法律法规和制度执行。如由于乙方的原因而导致泄密的，乙方应承担相应法律责任。</w:t>
      </w:r>
    </w:p>
    <w:p w14:paraId="52DB4721">
      <w:pPr>
        <w:adjustRightInd w:val="0"/>
        <w:snapToGrid w:val="0"/>
        <w:spacing w:after="0"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十、不可抗力</w:t>
      </w:r>
    </w:p>
    <w:p w14:paraId="620D88CB">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1BDD0F60">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遭受不可抗力一方应在不可抗力事故发生后尽快以书面形式通知另一方；并在事故发生后十（10）个日历日内，将有关部门出具的证明文件、详细情况报告以及不可抗力对合同影响程度的说明用特快专递或挂号信的形式寄给另一方。如果不可抗力影响时间延续二十（20）个日历日以上，双方应通过友好协商在合理的时间内达成进一步履行合同或终止合同的协议。</w:t>
      </w:r>
    </w:p>
    <w:p w14:paraId="684C3D8D">
      <w:pPr>
        <w:adjustRightInd w:val="0"/>
        <w:snapToGrid w:val="0"/>
        <w:spacing w:after="0"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十一、税费</w:t>
      </w:r>
    </w:p>
    <w:p w14:paraId="6EB2E457">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1.中国政府根据现行税法对乙方征收的与本合同有关的一切税费均由乙方负担。</w:t>
      </w:r>
    </w:p>
    <w:p w14:paraId="03A0E996">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2.在中国境外发生的与本合同执行有关的一切税费均由乙方负担。</w:t>
      </w:r>
    </w:p>
    <w:p w14:paraId="5EA39BD3">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3.中国政府依据现行税法对甲方征收的与本合同有关的一切税费均由甲方负担。</w:t>
      </w:r>
    </w:p>
    <w:p w14:paraId="41E87DC8">
      <w:pPr>
        <w:adjustRightInd w:val="0"/>
        <w:snapToGrid w:val="0"/>
        <w:spacing w:after="0"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十二、破产终止合同</w:t>
      </w:r>
    </w:p>
    <w:p w14:paraId="59C9A6FD">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当乙方破产或无供货（或提供服务）能力时，甲方可在任何时候以书面形式通知乙方单方解除合同；并且该终止合同不损害或不影响甲方已采取或将采取补救措施的权利。</w:t>
      </w:r>
    </w:p>
    <w:p w14:paraId="423E1487">
      <w:pPr>
        <w:adjustRightInd w:val="0"/>
        <w:snapToGrid w:val="0"/>
        <w:spacing w:after="0"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十三、转让</w:t>
      </w:r>
    </w:p>
    <w:p w14:paraId="7E16D1CD">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未经甲方事先书面同意，乙方不得部分转让或全部转让其应履行的合同义务。乙方擅自转让自身合同义务，甲方有权单方解除合同，并要求乙方赔偿因此产生的一切损失。</w:t>
      </w:r>
    </w:p>
    <w:p w14:paraId="41C46FBE">
      <w:pPr>
        <w:adjustRightInd w:val="0"/>
        <w:snapToGrid w:val="0"/>
        <w:spacing w:after="0"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十四、违约责任</w:t>
      </w:r>
    </w:p>
    <w:p w14:paraId="6421578E">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1.按《中华人民共和国民法典》中的相关条款执行。</w:t>
      </w:r>
    </w:p>
    <w:p w14:paraId="08BBE131">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2.合同签订后，如乙方擅自中途停止或解除合同，乙方应向甲方双倍返还定金。没有约定定金的，乙方向甲方赔偿防制服务价款。</w:t>
      </w:r>
    </w:p>
    <w:p w14:paraId="51537162">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消杀服务实施过程中，乙方未按谈判响应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365BB7E8">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4.乙方有责任按甲方要求提交病媒生物消杀服务的进展情况资料。如乙方未能按规定的服务周期完成消杀，每延误一天，应付逾期违约金人民币</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（但由于受天气等不可抗力的自然因素影响，则工期顺延），逾期 10 天以上的，甲方除有权终止履行合同外，乙方应承担因延期造成的损失。同时，甲方有权根据乙方所承担服务的质量和进度是否符合要求而对服务的内容进行调整。</w:t>
      </w:r>
    </w:p>
    <w:p w14:paraId="1B504C1F">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5.向甲方提供防制服务质量成果。由于返工造成逾期完成服务的，按延误服务周期偿付逾期违约金。</w:t>
      </w:r>
    </w:p>
    <w:p w14:paraId="1B9AF42B">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6.乙方不得将本项目的任何部分转包或分包给其他任何单位和个人。若擅自转包或分包本合同标的，甲方有权解除合同，并可要求乙方偿付预算工程费 30%的违约金，同时追究其法律责任。</w:t>
      </w:r>
    </w:p>
    <w:p w14:paraId="78CBFE19">
      <w:pPr>
        <w:adjustRightInd w:val="0"/>
        <w:snapToGrid w:val="0"/>
        <w:spacing w:after="0"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十五、合同争议和解决办法</w:t>
      </w:r>
    </w:p>
    <w:p w14:paraId="20A3862F">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甲、乙双方应本着友好合作、积极协商的态度，严格履行本协议，因不可预见的因素或本协议未尽事宜发生争议，由双方协商解决,协商不成时，甲、乙双方同意提交西安仲裁委员会仲裁，仲裁裁决是终局的，对双方均有约束力。</w:t>
      </w:r>
    </w:p>
    <w:p w14:paraId="00F05794">
      <w:pPr>
        <w:adjustRightInd w:val="0"/>
        <w:snapToGrid w:val="0"/>
        <w:spacing w:after="0"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十六、其他事项</w:t>
      </w:r>
    </w:p>
    <w:p w14:paraId="4D71030C">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1.采购人需追加与合同标的相同的货物、工程或者服务的，在不改变合同其他条款的前提下，可以与供应商协商签订补充合同，但所有补充合同的采购金额不得超过原合同采购金额的百分之十。</w:t>
      </w:r>
    </w:p>
    <w:p w14:paraId="7130449C">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2.未尽事宜，双方协商解决。在本合同履行过程中将双方达成的书面补充协议是本合同不可分割的组成部分，与本合同具有同等效力。</w:t>
      </w:r>
    </w:p>
    <w:p w14:paraId="35A3DC0C">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3.本合同正本一式</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份，副本一式</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份，均以中文书写，在双方代表签字盖章后生效，甲方执正本</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份、副本</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份；乙方执正本</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份，副本</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份；政府采购管理部门备案副本一份，均具有同等法律效力。</w:t>
      </w:r>
    </w:p>
    <w:p w14:paraId="4FCCECBA">
      <w:pPr>
        <w:adjustRightInd w:val="0"/>
        <w:snapToGrid w:val="0"/>
        <w:spacing w:after="0" w:line="360" w:lineRule="auto"/>
        <w:ind w:firstLine="480" w:firstLineChars="200"/>
        <w:rPr>
          <w:rFonts w:hint="eastAsia" w:ascii="仿宋" w:hAnsi="仿宋" w:eastAsia="仿宋" w:cs="仿宋"/>
          <w:sz w:val="24"/>
          <w:szCs w:val="24"/>
          <w:highlight w:val="none"/>
          <w:u w:val="none"/>
          <w:lang w:eastAsia="zh-CN"/>
        </w:rPr>
      </w:pPr>
      <w:r>
        <w:rPr>
          <w:rFonts w:hint="eastAsia" w:ascii="仿宋" w:hAnsi="仿宋" w:eastAsia="仿宋" w:cs="仿宋"/>
          <w:sz w:val="24"/>
          <w:szCs w:val="24"/>
          <w:highlight w:val="none"/>
          <w:u w:val="none"/>
          <w:lang w:eastAsia="zh-CN"/>
        </w:rPr>
        <w:t>4.本合同自双方签字盖章之日起生效，合同执行完毕自动失效（合同的服务承诺长期有效）。</w:t>
      </w:r>
    </w:p>
    <w:tbl>
      <w:tblPr>
        <w:tblStyle w:val="3"/>
        <w:tblW w:w="0" w:type="auto"/>
        <w:tblInd w:w="0" w:type="dxa"/>
        <w:tblLayout w:type="fixed"/>
        <w:tblCellMar>
          <w:top w:w="0" w:type="dxa"/>
          <w:left w:w="108" w:type="dxa"/>
          <w:bottom w:w="0" w:type="dxa"/>
          <w:right w:w="108" w:type="dxa"/>
        </w:tblCellMar>
      </w:tblPr>
      <w:tblGrid>
        <w:gridCol w:w="4201"/>
        <w:gridCol w:w="4202"/>
      </w:tblGrid>
      <w:tr w14:paraId="29D3D8CC">
        <w:tblPrEx>
          <w:tblCellMar>
            <w:top w:w="0" w:type="dxa"/>
            <w:left w:w="108" w:type="dxa"/>
            <w:bottom w:w="0" w:type="dxa"/>
            <w:right w:w="108" w:type="dxa"/>
          </w:tblCellMar>
        </w:tblPrEx>
        <w:trPr>
          <w:trHeight w:val="484" w:hRule="exact"/>
        </w:trPr>
        <w:tc>
          <w:tcPr>
            <w:tcW w:w="4201" w:type="dxa"/>
            <w:vAlign w:val="center"/>
          </w:tcPr>
          <w:p w14:paraId="07FD14B2">
            <w:pPr>
              <w:adjustRightInd w:val="0"/>
              <w:snapToGrid w:val="0"/>
              <w:spacing w:after="0" w:line="24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甲方</w:t>
            </w:r>
          </w:p>
        </w:tc>
        <w:tc>
          <w:tcPr>
            <w:tcW w:w="4202" w:type="dxa"/>
            <w:vAlign w:val="center"/>
          </w:tcPr>
          <w:p w14:paraId="1A311720">
            <w:pPr>
              <w:adjustRightInd w:val="0"/>
              <w:snapToGrid w:val="0"/>
              <w:spacing w:after="0" w:line="24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乙方</w:t>
            </w:r>
          </w:p>
        </w:tc>
      </w:tr>
      <w:tr w14:paraId="7331CE49">
        <w:tblPrEx>
          <w:tblCellMar>
            <w:top w:w="0" w:type="dxa"/>
            <w:left w:w="108" w:type="dxa"/>
            <w:bottom w:w="0" w:type="dxa"/>
            <w:right w:w="108" w:type="dxa"/>
          </w:tblCellMar>
        </w:tblPrEx>
        <w:trPr>
          <w:trHeight w:val="467" w:hRule="exact"/>
        </w:trPr>
        <w:tc>
          <w:tcPr>
            <w:tcW w:w="4201" w:type="dxa"/>
            <w:vAlign w:val="center"/>
          </w:tcPr>
          <w:p w14:paraId="62774352">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（盖章）</w:t>
            </w:r>
          </w:p>
        </w:tc>
        <w:tc>
          <w:tcPr>
            <w:tcW w:w="4202" w:type="dxa"/>
            <w:vAlign w:val="center"/>
          </w:tcPr>
          <w:p w14:paraId="0256B4FE">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（盖章）</w:t>
            </w:r>
          </w:p>
        </w:tc>
      </w:tr>
      <w:tr w14:paraId="37EDD3E1">
        <w:tblPrEx>
          <w:tblCellMar>
            <w:top w:w="0" w:type="dxa"/>
            <w:left w:w="108" w:type="dxa"/>
            <w:bottom w:w="0" w:type="dxa"/>
            <w:right w:w="108" w:type="dxa"/>
          </w:tblCellMar>
        </w:tblPrEx>
        <w:trPr>
          <w:trHeight w:val="501" w:hRule="exact"/>
        </w:trPr>
        <w:tc>
          <w:tcPr>
            <w:tcW w:w="4201" w:type="dxa"/>
            <w:vAlign w:val="center"/>
          </w:tcPr>
          <w:p w14:paraId="3D94C19F">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地址：</w:t>
            </w:r>
          </w:p>
        </w:tc>
        <w:tc>
          <w:tcPr>
            <w:tcW w:w="4202" w:type="dxa"/>
            <w:vAlign w:val="center"/>
          </w:tcPr>
          <w:p w14:paraId="3816C179">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地址：</w:t>
            </w:r>
          </w:p>
        </w:tc>
      </w:tr>
      <w:tr w14:paraId="0AF73D69">
        <w:tblPrEx>
          <w:tblCellMar>
            <w:top w:w="0" w:type="dxa"/>
            <w:left w:w="108" w:type="dxa"/>
            <w:bottom w:w="0" w:type="dxa"/>
            <w:right w:w="108" w:type="dxa"/>
          </w:tblCellMar>
        </w:tblPrEx>
        <w:trPr>
          <w:trHeight w:val="450" w:hRule="exact"/>
        </w:trPr>
        <w:tc>
          <w:tcPr>
            <w:tcW w:w="4201" w:type="dxa"/>
            <w:vAlign w:val="center"/>
          </w:tcPr>
          <w:p w14:paraId="47F6C5EC">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邮编：</w:t>
            </w:r>
          </w:p>
        </w:tc>
        <w:tc>
          <w:tcPr>
            <w:tcW w:w="4202" w:type="dxa"/>
            <w:vAlign w:val="center"/>
          </w:tcPr>
          <w:p w14:paraId="67EAB747">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邮编：</w:t>
            </w:r>
          </w:p>
        </w:tc>
      </w:tr>
      <w:tr w14:paraId="31C48D74">
        <w:tblPrEx>
          <w:tblCellMar>
            <w:top w:w="0" w:type="dxa"/>
            <w:left w:w="108" w:type="dxa"/>
            <w:bottom w:w="0" w:type="dxa"/>
            <w:right w:w="108" w:type="dxa"/>
          </w:tblCellMar>
        </w:tblPrEx>
        <w:trPr>
          <w:trHeight w:val="533" w:hRule="exact"/>
        </w:trPr>
        <w:tc>
          <w:tcPr>
            <w:tcW w:w="4201" w:type="dxa"/>
            <w:vAlign w:val="center"/>
          </w:tcPr>
          <w:p w14:paraId="1FDF28D9">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法定代表人：</w:t>
            </w:r>
          </w:p>
        </w:tc>
        <w:tc>
          <w:tcPr>
            <w:tcW w:w="4202" w:type="dxa"/>
            <w:vAlign w:val="center"/>
          </w:tcPr>
          <w:p w14:paraId="1C9E60C6">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法定代表人：</w:t>
            </w:r>
          </w:p>
        </w:tc>
      </w:tr>
      <w:tr w14:paraId="620365F7">
        <w:tblPrEx>
          <w:tblCellMar>
            <w:top w:w="0" w:type="dxa"/>
            <w:left w:w="108" w:type="dxa"/>
            <w:bottom w:w="0" w:type="dxa"/>
            <w:right w:w="108" w:type="dxa"/>
          </w:tblCellMar>
        </w:tblPrEx>
        <w:trPr>
          <w:trHeight w:val="533" w:hRule="exact"/>
        </w:trPr>
        <w:tc>
          <w:tcPr>
            <w:tcW w:w="4201" w:type="dxa"/>
            <w:vAlign w:val="center"/>
          </w:tcPr>
          <w:p w14:paraId="009A6472">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委托代理人：</w:t>
            </w:r>
          </w:p>
        </w:tc>
        <w:tc>
          <w:tcPr>
            <w:tcW w:w="4202" w:type="dxa"/>
            <w:vAlign w:val="center"/>
          </w:tcPr>
          <w:p w14:paraId="60581E35">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委托代理人：</w:t>
            </w:r>
          </w:p>
        </w:tc>
      </w:tr>
      <w:tr w14:paraId="4A5DF968">
        <w:tblPrEx>
          <w:tblCellMar>
            <w:top w:w="0" w:type="dxa"/>
            <w:left w:w="108" w:type="dxa"/>
            <w:bottom w:w="0" w:type="dxa"/>
            <w:right w:w="108" w:type="dxa"/>
          </w:tblCellMar>
        </w:tblPrEx>
        <w:trPr>
          <w:trHeight w:val="500" w:hRule="exact"/>
        </w:trPr>
        <w:tc>
          <w:tcPr>
            <w:tcW w:w="4201" w:type="dxa"/>
            <w:vAlign w:val="center"/>
          </w:tcPr>
          <w:p w14:paraId="497E3178">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电话：</w:t>
            </w:r>
          </w:p>
        </w:tc>
        <w:tc>
          <w:tcPr>
            <w:tcW w:w="4202" w:type="dxa"/>
            <w:vAlign w:val="center"/>
          </w:tcPr>
          <w:p w14:paraId="614123BC">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电话：</w:t>
            </w:r>
          </w:p>
        </w:tc>
      </w:tr>
      <w:tr w14:paraId="3F32BD0C">
        <w:tblPrEx>
          <w:tblCellMar>
            <w:top w:w="0" w:type="dxa"/>
            <w:left w:w="108" w:type="dxa"/>
            <w:bottom w:w="0" w:type="dxa"/>
            <w:right w:w="108" w:type="dxa"/>
          </w:tblCellMar>
        </w:tblPrEx>
        <w:trPr>
          <w:trHeight w:val="467" w:hRule="exact"/>
        </w:trPr>
        <w:tc>
          <w:tcPr>
            <w:tcW w:w="4201" w:type="dxa"/>
            <w:vAlign w:val="center"/>
          </w:tcPr>
          <w:p w14:paraId="52110DE5">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传真：</w:t>
            </w:r>
          </w:p>
        </w:tc>
        <w:tc>
          <w:tcPr>
            <w:tcW w:w="4202" w:type="dxa"/>
            <w:vAlign w:val="center"/>
          </w:tcPr>
          <w:p w14:paraId="29BEDEA2">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传真：</w:t>
            </w:r>
          </w:p>
        </w:tc>
      </w:tr>
      <w:tr w14:paraId="1F0D02D1">
        <w:tblPrEx>
          <w:tblCellMar>
            <w:top w:w="0" w:type="dxa"/>
            <w:left w:w="108" w:type="dxa"/>
            <w:bottom w:w="0" w:type="dxa"/>
            <w:right w:w="108" w:type="dxa"/>
          </w:tblCellMar>
        </w:tblPrEx>
        <w:trPr>
          <w:trHeight w:val="567" w:hRule="exact"/>
        </w:trPr>
        <w:tc>
          <w:tcPr>
            <w:tcW w:w="4201" w:type="dxa"/>
            <w:vAlign w:val="center"/>
          </w:tcPr>
          <w:p w14:paraId="5401773B">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开户银行：</w:t>
            </w:r>
          </w:p>
        </w:tc>
        <w:tc>
          <w:tcPr>
            <w:tcW w:w="4202" w:type="dxa"/>
            <w:vAlign w:val="center"/>
          </w:tcPr>
          <w:p w14:paraId="63B60966">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开户银行：</w:t>
            </w:r>
          </w:p>
        </w:tc>
      </w:tr>
      <w:tr w14:paraId="340E865D">
        <w:tblPrEx>
          <w:tblCellMar>
            <w:top w:w="0" w:type="dxa"/>
            <w:left w:w="108" w:type="dxa"/>
            <w:bottom w:w="0" w:type="dxa"/>
            <w:right w:w="108" w:type="dxa"/>
          </w:tblCellMar>
        </w:tblPrEx>
        <w:trPr>
          <w:trHeight w:val="567" w:hRule="exact"/>
        </w:trPr>
        <w:tc>
          <w:tcPr>
            <w:tcW w:w="4201" w:type="dxa"/>
            <w:vAlign w:val="center"/>
          </w:tcPr>
          <w:p w14:paraId="4AA4B57C">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日期：</w:t>
            </w:r>
          </w:p>
        </w:tc>
        <w:tc>
          <w:tcPr>
            <w:tcW w:w="4202" w:type="dxa"/>
            <w:vAlign w:val="center"/>
          </w:tcPr>
          <w:p w14:paraId="006DDCC1">
            <w:pPr>
              <w:adjustRightInd w:val="0"/>
              <w:snapToGrid w:val="0"/>
              <w:spacing w:after="0"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日期：</w:t>
            </w:r>
          </w:p>
        </w:tc>
      </w:tr>
    </w:tbl>
    <w:p w14:paraId="16F36383">
      <w:pPr>
        <w:adjustRightInd w:val="0"/>
        <w:snapToGrid w:val="0"/>
        <w:spacing w:after="0" w:line="360" w:lineRule="auto"/>
        <w:ind w:firstLine="482" w:firstLineChars="200"/>
        <w:rPr>
          <w:rFonts w:hint="eastAsia" w:ascii="仿宋" w:hAnsi="仿宋" w:eastAsia="仿宋" w:cs="仿宋"/>
          <w:b/>
          <w:bCs/>
          <w:sz w:val="24"/>
          <w:szCs w:val="24"/>
          <w:highlight w:val="none"/>
          <w:lang w:eastAsia="zh-CN"/>
        </w:rPr>
      </w:pPr>
    </w:p>
    <w:p w14:paraId="4F0408B5">
      <w:pPr>
        <w:adjustRightInd w:val="0"/>
        <w:snapToGrid w:val="0"/>
        <w:spacing w:after="0" w:line="360" w:lineRule="auto"/>
        <w:ind w:firstLine="482" w:firstLineChars="200"/>
        <w:rPr>
          <w:rFonts w:hint="eastAsia" w:ascii="仿宋" w:hAnsi="仿宋" w:eastAsia="仿宋" w:cs="仿宋"/>
          <w:b/>
          <w:bCs/>
          <w:sz w:val="24"/>
          <w:szCs w:val="24"/>
          <w:highlight w:val="none"/>
          <w:lang w:eastAsia="zh-CN"/>
        </w:rPr>
      </w:pPr>
    </w:p>
    <w:p w14:paraId="6B01EC95">
      <w:pPr>
        <w:adjustRightInd w:val="0"/>
        <w:snapToGrid w:val="0"/>
        <w:spacing w:after="0" w:line="360" w:lineRule="auto"/>
        <w:ind w:firstLine="482" w:firstLineChars="200"/>
        <w:rPr>
          <w:rFonts w:hint="eastAsia" w:ascii="仿宋" w:hAnsi="仿宋" w:eastAsia="仿宋" w:cs="仿宋"/>
          <w:b/>
          <w:bCs/>
          <w:sz w:val="24"/>
          <w:szCs w:val="24"/>
          <w:highlight w:val="none"/>
          <w:lang w:eastAsia="zh-CN"/>
        </w:rPr>
      </w:pPr>
    </w:p>
    <w:p w14:paraId="24D9FA99">
      <w:pPr>
        <w:adjustRightInd w:val="0"/>
        <w:snapToGrid w:val="0"/>
        <w:spacing w:after="0" w:line="360" w:lineRule="auto"/>
        <w:ind w:firstLine="480" w:firstLineChars="200"/>
        <w:rPr>
          <w:rFonts w:hint="eastAsia" w:ascii="仿宋" w:hAnsi="仿宋" w:eastAsia="仿宋" w:cs="仿宋"/>
          <w:sz w:val="24"/>
          <w:szCs w:val="24"/>
          <w:highlight w:val="none"/>
          <w:lang w:eastAsia="zh-CN" w:bidi="ar"/>
        </w:rPr>
      </w:pPr>
    </w:p>
    <w:p w14:paraId="7BEA2EB2">
      <w:pPr>
        <w:rPr>
          <w:rFonts w:hint="eastAsia" w:ascii="仿宋" w:hAnsi="仿宋" w:eastAsia="仿宋" w:cs="仿宋"/>
          <w:sz w:val="24"/>
          <w:szCs w:val="24"/>
          <w:highlight w:val="none"/>
        </w:rPr>
      </w:pPr>
    </w:p>
    <w:sectPr>
      <w:pgSz w:w="11906" w:h="16838"/>
      <w:pgMar w:top="1440" w:right="1306"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EA6E45"/>
    <w:rsid w:val="4EEA6E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微软雅黑" w:hAnsi="微软雅黑" w:eastAsia="微软雅黑" w:cs="Times New Roman"/>
      <w:sz w:val="22"/>
      <w:szCs w:val="22"/>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line="22" w:lineRule="atLeast"/>
    </w:pPr>
    <w:rPr>
      <w:rFonts w:ascii="宋体" w:hAnsi="宋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3</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2025-07-25T05:42:00Z</dcterms:created>
  <dc:creator>ttt</dc:creator>
  <cp:lastModifiedBy>ttt</cp:lastModifiedBy>
  <cp:lastPrinted>2025-07-25T05:46:11Z</cp:lastPrinted>
  <dcterms:modified xsi:type="dcterms:W3CDTF">2025-07-25T05:46:34Z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924672942728471DB98161588C09D794_11</vt:lpwstr>
  </property>
  <property fmtid="{D5CDD505-2E9C-101B-9397-08002B2CF9AE}" pid="4" name="KSOTemplateDocerSaveRecord">
    <vt:lpwstr>eyJoZGlkIjoiNWJlMTZkNzkxYTk2ZWMzMDUxYmFlZDhhYTA3N2E0OTEifQ==</vt:lpwstr>
  </property>
</Properties>
</file>