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123B0C">
      <w:pPr>
        <w:spacing w:line="240" w:lineRule="auto"/>
        <w:jc w:val="center"/>
        <w:rPr>
          <w:rFonts w:hint="eastAsia" w:ascii="仿宋" w:hAnsi="仿宋" w:eastAsia="仿宋" w:cs="仿宋"/>
          <w:b/>
          <w:sz w:val="20"/>
          <w:szCs w:val="20"/>
          <w:lang w:eastAsia="zh-CN"/>
        </w:rPr>
      </w:pPr>
      <w:r>
        <w:rPr>
          <w:rFonts w:hint="eastAsia" w:ascii="仿宋" w:hAnsi="仿宋" w:eastAsia="仿宋" w:cs="仿宋"/>
          <w:b/>
          <w:sz w:val="20"/>
          <w:szCs w:val="20"/>
          <w:lang w:eastAsia="zh-CN"/>
        </w:rPr>
        <w:t>最终磋商报价表</w:t>
      </w:r>
    </w:p>
    <w:p w14:paraId="468948E3">
      <w:pPr>
        <w:spacing w:line="240" w:lineRule="auto"/>
        <w:rPr>
          <w:rFonts w:hint="eastAsia" w:ascii="仿宋" w:hAnsi="仿宋" w:eastAsia="仿宋" w:cs="仿宋"/>
          <w:sz w:val="20"/>
          <w:szCs w:val="20"/>
          <w:lang w:eastAsia="zh-CN"/>
        </w:rPr>
      </w:pPr>
      <w:r>
        <w:rPr>
          <w:rFonts w:hint="eastAsia" w:ascii="仿宋" w:hAnsi="仿宋" w:eastAsia="仿宋" w:cs="仿宋"/>
          <w:sz w:val="20"/>
          <w:szCs w:val="20"/>
          <w:lang w:eastAsia="zh-CN"/>
        </w:rPr>
        <w:t>项目名称：2025年病媒生物防制服务　         采购项目包号：采购包2</w:t>
      </w:r>
    </w:p>
    <w:tbl>
      <w:tblPr>
        <w:tblStyle w:val="2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23"/>
        <w:gridCol w:w="1902"/>
        <w:gridCol w:w="2031"/>
        <w:gridCol w:w="1209"/>
        <w:gridCol w:w="1119"/>
      </w:tblGrid>
      <w:tr w14:paraId="0F59D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6" w:hRule="atLeast"/>
          <w:jc w:val="center"/>
        </w:trPr>
        <w:tc>
          <w:tcPr>
            <w:tcW w:w="2523" w:type="dxa"/>
            <w:vAlign w:val="center"/>
          </w:tcPr>
          <w:p w14:paraId="16464245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/>
              </w:rPr>
              <w:t>采购内容</w:t>
            </w:r>
          </w:p>
        </w:tc>
        <w:tc>
          <w:tcPr>
            <w:tcW w:w="1902" w:type="dxa"/>
            <w:vAlign w:val="center"/>
          </w:tcPr>
          <w:p w14:paraId="10B9CAB7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总价（元）</w:t>
            </w:r>
          </w:p>
        </w:tc>
        <w:tc>
          <w:tcPr>
            <w:tcW w:w="2031" w:type="dxa"/>
            <w:vAlign w:val="center"/>
          </w:tcPr>
          <w:p w14:paraId="41A05417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/>
              </w:rPr>
              <w:t>服务期</w:t>
            </w:r>
          </w:p>
        </w:tc>
        <w:tc>
          <w:tcPr>
            <w:tcW w:w="1209" w:type="dxa"/>
            <w:vAlign w:val="center"/>
          </w:tcPr>
          <w:p w14:paraId="1300CF4C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  <w:t>服务质量</w:t>
            </w:r>
          </w:p>
        </w:tc>
        <w:tc>
          <w:tcPr>
            <w:tcW w:w="1119" w:type="dxa"/>
            <w:vAlign w:val="center"/>
          </w:tcPr>
          <w:p w14:paraId="31F5B227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/>
              </w:rPr>
              <w:t>备注</w:t>
            </w:r>
          </w:p>
        </w:tc>
      </w:tr>
      <w:tr w14:paraId="29050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90" w:hRule="atLeast"/>
          <w:jc w:val="center"/>
        </w:trPr>
        <w:tc>
          <w:tcPr>
            <w:tcW w:w="2523" w:type="dxa"/>
            <w:vAlign w:val="center"/>
          </w:tcPr>
          <w:p w14:paraId="10416FCA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highlight w:val="none"/>
                <w:lang w:eastAsia="zh-CN"/>
              </w:rPr>
              <w:t>园区公共区域病媒生物应急防制及管委会防制</w:t>
            </w:r>
          </w:p>
        </w:tc>
        <w:tc>
          <w:tcPr>
            <w:tcW w:w="1902" w:type="dxa"/>
            <w:vAlign w:val="center"/>
          </w:tcPr>
          <w:p w14:paraId="6010E1E8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2031" w:type="dxa"/>
            <w:vAlign w:val="center"/>
          </w:tcPr>
          <w:p w14:paraId="3A69481D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1209" w:type="dxa"/>
            <w:vAlign w:val="center"/>
          </w:tcPr>
          <w:p w14:paraId="469A73E3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</w:p>
        </w:tc>
        <w:tc>
          <w:tcPr>
            <w:tcW w:w="1119" w:type="dxa"/>
            <w:vAlign w:val="center"/>
          </w:tcPr>
          <w:p w14:paraId="6D69E344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</w:p>
        </w:tc>
      </w:tr>
      <w:tr w14:paraId="577748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90" w:hRule="atLeast"/>
          <w:jc w:val="center"/>
        </w:trPr>
        <w:tc>
          <w:tcPr>
            <w:tcW w:w="2523" w:type="dxa"/>
            <w:vAlign w:val="center"/>
          </w:tcPr>
          <w:p w14:paraId="5374E2D6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/>
              </w:rPr>
              <w:t>投标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报价</w:t>
            </w:r>
          </w:p>
        </w:tc>
        <w:tc>
          <w:tcPr>
            <w:tcW w:w="6261" w:type="dxa"/>
            <w:gridSpan w:val="4"/>
            <w:vAlign w:val="center"/>
          </w:tcPr>
          <w:p w14:paraId="448DFB44">
            <w:pPr>
              <w:spacing w:line="24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  <w:t>小写：</w:t>
            </w:r>
            <w:r>
              <w:rPr>
                <w:rFonts w:ascii="Calibri" w:hAnsi="Calibri" w:eastAsia="仿宋" w:cs="Calibri"/>
                <w:sz w:val="20"/>
                <w:szCs w:val="20"/>
                <w:highlight w:val="none"/>
                <w:lang w:eastAsia="zh-CN"/>
              </w:rPr>
              <w:t>¥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u w:val="single"/>
                <w:lang w:eastAsia="zh-CN"/>
              </w:rPr>
              <w:t xml:space="preserve">              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  <w:t>元；</w:t>
            </w:r>
          </w:p>
          <w:p w14:paraId="05C02CAB">
            <w:pPr>
              <w:spacing w:line="24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  <w:t>大写：人民币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u w:val="single"/>
                <w:lang w:val="zh-CN" w:eastAsia="zh-CN"/>
              </w:rPr>
              <w:t xml:space="preserve">         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  <w:t>；</w:t>
            </w:r>
          </w:p>
        </w:tc>
      </w:tr>
      <w:tr w14:paraId="6DE880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90" w:hRule="atLeast"/>
          <w:jc w:val="center"/>
        </w:trPr>
        <w:tc>
          <w:tcPr>
            <w:tcW w:w="8784" w:type="dxa"/>
            <w:gridSpan w:val="5"/>
            <w:vAlign w:val="center"/>
          </w:tcPr>
          <w:p w14:paraId="470B5ED9">
            <w:pPr>
              <w:spacing w:line="24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  <w:t>备注：</w:t>
            </w:r>
          </w:p>
          <w:p w14:paraId="4A92A38D">
            <w:pPr>
              <w:spacing w:line="240" w:lineRule="auto"/>
              <w:rPr>
                <w:rFonts w:hint="eastAsia" w:ascii="仿宋" w:hAnsi="仿宋" w:eastAsia="仿宋" w:cs="仿宋"/>
                <w:kern w:val="2"/>
                <w:sz w:val="20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0"/>
                <w:highlight w:val="none"/>
                <w:lang w:val="zh-CN" w:eastAsia="zh-CN"/>
              </w:rPr>
              <w:t>1.本合同为固定总价合同，合同价款包括但不限于人员工资、社会保险费、设备器材费&lt;包含损耗&gt;、车辆费、管理费、税金、验收费用以及市场风险等。该价格不因任何因素变化而调整。</w:t>
            </w:r>
          </w:p>
          <w:p w14:paraId="0D790B34">
            <w:pPr>
              <w:spacing w:line="24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0"/>
                <w:highlight w:val="none"/>
                <w:lang w:val="zh-CN" w:eastAsia="zh-CN"/>
              </w:rPr>
              <w:t>2.供应商磋商总报价不得超过最高限价</w:t>
            </w:r>
            <w:r>
              <w:rPr>
                <w:rFonts w:hint="eastAsia" w:ascii="仿宋" w:hAnsi="仿宋" w:eastAsia="仿宋" w:cs="仿宋"/>
                <w:kern w:val="2"/>
                <w:sz w:val="20"/>
                <w:highlight w:val="none"/>
                <w:lang w:eastAsia="zh-CN"/>
              </w:rPr>
              <w:t>或预算</w:t>
            </w:r>
            <w:r>
              <w:rPr>
                <w:rFonts w:hint="eastAsia" w:ascii="仿宋" w:hAnsi="仿宋" w:eastAsia="仿宋" w:cs="仿宋"/>
                <w:kern w:val="2"/>
                <w:sz w:val="20"/>
                <w:highlight w:val="none"/>
                <w:lang w:val="zh-CN" w:eastAsia="zh-CN"/>
              </w:rPr>
              <w:t>，否则响应文件按无效标处理。</w:t>
            </w:r>
          </w:p>
        </w:tc>
      </w:tr>
    </w:tbl>
    <w:p w14:paraId="208E9F3D">
      <w:pPr>
        <w:spacing w:line="240" w:lineRule="auto"/>
        <w:jc w:val="both"/>
        <w:rPr>
          <w:rFonts w:hint="eastAsia" w:ascii="仿宋" w:hAnsi="仿宋" w:eastAsia="仿宋" w:cs="仿宋"/>
          <w:b/>
          <w:sz w:val="20"/>
          <w:szCs w:val="20"/>
          <w:lang w:eastAsia="zh-CN"/>
        </w:rPr>
      </w:pPr>
    </w:p>
    <w:p w14:paraId="1268E3EC">
      <w:pPr>
        <w:spacing w:line="240" w:lineRule="auto"/>
        <w:ind w:firstLine="4600" w:firstLineChars="2300"/>
        <w:rPr>
          <w:rFonts w:hint="eastAsia" w:ascii="仿宋" w:hAnsi="仿宋" w:eastAsia="仿宋" w:cs="仿宋"/>
          <w:sz w:val="20"/>
          <w:szCs w:val="20"/>
          <w:lang w:eastAsia="zh-CN"/>
        </w:rPr>
      </w:pPr>
      <w:r>
        <w:rPr>
          <w:rFonts w:hint="eastAsia" w:ascii="仿宋" w:hAnsi="仿宋" w:eastAsia="仿宋" w:cs="仿宋"/>
          <w:sz w:val="20"/>
          <w:szCs w:val="20"/>
          <w:lang w:eastAsia="zh-CN"/>
        </w:rPr>
        <w:t>供应商（公章）：</w:t>
      </w:r>
      <w:r>
        <w:rPr>
          <w:rFonts w:hint="eastAsia" w:ascii="仿宋" w:hAnsi="仿宋" w:eastAsia="仿宋" w:cs="仿宋"/>
          <w:sz w:val="20"/>
          <w:szCs w:val="20"/>
          <w:u w:val="single"/>
          <w:lang w:eastAsia="zh-CN"/>
        </w:rPr>
        <w:t xml:space="preserve">                     </w:t>
      </w:r>
    </w:p>
    <w:p w14:paraId="6499A6B6">
      <w:pPr>
        <w:spacing w:line="240" w:lineRule="auto"/>
        <w:ind w:firstLine="2800" w:firstLineChars="1400"/>
        <w:jc w:val="center"/>
        <w:rPr>
          <w:rFonts w:hint="eastAsia" w:ascii="仿宋" w:hAnsi="仿宋" w:eastAsia="仿宋" w:cs="仿宋"/>
          <w:sz w:val="20"/>
          <w:szCs w:val="20"/>
          <w:u w:val="single"/>
          <w:lang w:eastAsia="zh-CN"/>
        </w:rPr>
      </w:pPr>
      <w:r>
        <w:rPr>
          <w:rFonts w:hint="eastAsia" w:ascii="仿宋" w:hAnsi="仿宋" w:eastAsia="仿宋" w:cs="仿宋"/>
          <w:sz w:val="20"/>
          <w:szCs w:val="20"/>
          <w:lang w:eastAsia="zh-CN"/>
        </w:rPr>
        <w:t>法定代表人或授权代表（签字或盖章）：</w:t>
      </w:r>
      <w:r>
        <w:rPr>
          <w:rFonts w:hint="eastAsia" w:ascii="仿宋" w:hAnsi="仿宋" w:eastAsia="仿宋" w:cs="仿宋"/>
          <w:sz w:val="20"/>
          <w:szCs w:val="20"/>
          <w:u w:val="single"/>
          <w:lang w:eastAsia="zh-CN"/>
        </w:rPr>
        <w:t xml:space="preserve">          </w:t>
      </w:r>
    </w:p>
    <w:p w14:paraId="79C24370">
      <w:pPr>
        <w:spacing w:line="240" w:lineRule="auto"/>
        <w:ind w:firstLine="2800" w:firstLineChars="1400"/>
        <w:jc w:val="center"/>
        <w:rPr>
          <w:rFonts w:hint="eastAsia" w:ascii="仿宋" w:hAnsi="仿宋" w:eastAsia="仿宋" w:cs="仿宋"/>
          <w:b/>
          <w:sz w:val="20"/>
          <w:szCs w:val="20"/>
          <w:lang w:eastAsia="zh-CN"/>
        </w:rPr>
      </w:pPr>
      <w:r>
        <w:rPr>
          <w:rFonts w:hint="eastAsia" w:ascii="仿宋" w:hAnsi="仿宋" w:eastAsia="仿宋" w:cs="仿宋"/>
          <w:sz w:val="20"/>
          <w:szCs w:val="20"/>
          <w:lang w:eastAsia="zh-CN"/>
        </w:rPr>
        <w:t xml:space="preserve">                  日     期：</w:t>
      </w:r>
      <w:r>
        <w:rPr>
          <w:rFonts w:hint="eastAsia" w:ascii="仿宋" w:hAnsi="仿宋" w:eastAsia="仿宋" w:cs="仿宋"/>
          <w:sz w:val="20"/>
          <w:szCs w:val="20"/>
          <w:u w:val="single"/>
          <w:lang w:eastAsia="zh-CN"/>
        </w:rPr>
        <w:t xml:space="preserve">             </w:t>
      </w:r>
    </w:p>
    <w:p w14:paraId="332DAEDE">
      <w:pPr>
        <w:rPr>
          <w:lang w:eastAsia="zh-CN"/>
        </w:rPr>
      </w:pPr>
      <w:r>
        <w:rPr>
          <w:lang w:eastAsia="zh-CN"/>
        </w:rPr>
        <w:br w:type="page"/>
      </w:r>
    </w:p>
    <w:p w14:paraId="3113C690">
      <w:pPr>
        <w:spacing w:line="240" w:lineRule="auto"/>
        <w:jc w:val="center"/>
        <w:outlineLvl w:val="1"/>
        <w:rPr>
          <w:rFonts w:hint="eastAsia" w:ascii="仿宋" w:hAnsi="仿宋" w:eastAsia="仿宋" w:cs="仿宋"/>
          <w:b/>
          <w:bCs/>
          <w:sz w:val="20"/>
          <w:szCs w:val="20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2C49D7C6">
      <w:pPr>
        <w:spacing w:line="240" w:lineRule="auto"/>
        <w:jc w:val="center"/>
        <w:rPr>
          <w:rFonts w:hint="eastAsia" w:ascii="仿宋" w:hAnsi="仿宋" w:eastAsia="仿宋" w:cs="仿宋"/>
          <w:b/>
          <w:sz w:val="20"/>
          <w:szCs w:val="20"/>
          <w:lang w:eastAsia="zh-CN"/>
        </w:rPr>
      </w:pPr>
      <w:r>
        <w:rPr>
          <w:rFonts w:hint="eastAsia" w:ascii="仿宋" w:hAnsi="仿宋" w:eastAsia="仿宋" w:cs="仿宋"/>
          <w:b/>
          <w:sz w:val="20"/>
          <w:szCs w:val="20"/>
          <w:lang w:val="en-US" w:eastAsia="zh-CN"/>
        </w:rPr>
        <w:t>最终</w:t>
      </w:r>
      <w:r>
        <w:rPr>
          <w:rFonts w:hint="eastAsia" w:ascii="仿宋" w:hAnsi="仿宋" w:eastAsia="仿宋" w:cs="仿宋"/>
          <w:b/>
          <w:sz w:val="20"/>
          <w:szCs w:val="20"/>
          <w:lang w:eastAsia="zh-CN"/>
        </w:rPr>
        <w:t>磋商分项报价表</w:t>
      </w:r>
    </w:p>
    <w:p w14:paraId="00031E5D">
      <w:pPr>
        <w:spacing w:line="240" w:lineRule="auto"/>
        <w:rPr>
          <w:rFonts w:hint="eastAsia" w:ascii="仿宋" w:hAnsi="仿宋" w:eastAsia="仿宋" w:cs="仿宋"/>
          <w:sz w:val="20"/>
          <w:szCs w:val="20"/>
          <w:lang w:eastAsia="zh-CN"/>
        </w:rPr>
      </w:pPr>
      <w:r>
        <w:rPr>
          <w:rFonts w:hint="eastAsia" w:ascii="仿宋" w:hAnsi="仿宋" w:eastAsia="仿宋" w:cs="仿宋"/>
          <w:sz w:val="20"/>
          <w:szCs w:val="20"/>
          <w:lang w:eastAsia="zh-CN"/>
        </w:rPr>
        <w:t>项目名称：2025年病媒生物防制服务　            采购项目包号：采购包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2</w:t>
      </w:r>
    </w:p>
    <w:tbl>
      <w:tblPr>
        <w:tblStyle w:val="2"/>
        <w:tblW w:w="86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50"/>
        <w:gridCol w:w="1877"/>
        <w:gridCol w:w="945"/>
        <w:gridCol w:w="945"/>
        <w:gridCol w:w="945"/>
        <w:gridCol w:w="945"/>
        <w:gridCol w:w="945"/>
      </w:tblGrid>
      <w:tr w14:paraId="5C406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1" w:hRule="atLeast"/>
          <w:jc w:val="center"/>
        </w:trPr>
        <w:tc>
          <w:tcPr>
            <w:tcW w:w="2050" w:type="dxa"/>
            <w:vAlign w:val="center"/>
          </w:tcPr>
          <w:p w14:paraId="230FC890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  <w:t>采购标的</w:t>
            </w:r>
          </w:p>
        </w:tc>
        <w:tc>
          <w:tcPr>
            <w:tcW w:w="1877" w:type="dxa"/>
            <w:vAlign w:val="center"/>
          </w:tcPr>
          <w:p w14:paraId="4565654E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/>
              </w:rPr>
              <w:t>采购内容</w:t>
            </w:r>
          </w:p>
        </w:tc>
        <w:tc>
          <w:tcPr>
            <w:tcW w:w="945" w:type="dxa"/>
            <w:vAlign w:val="center"/>
          </w:tcPr>
          <w:p w14:paraId="48D86206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单位</w:t>
            </w:r>
          </w:p>
        </w:tc>
        <w:tc>
          <w:tcPr>
            <w:tcW w:w="945" w:type="dxa"/>
            <w:vAlign w:val="center"/>
          </w:tcPr>
          <w:p w14:paraId="18D37493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数量</w:t>
            </w:r>
          </w:p>
        </w:tc>
        <w:tc>
          <w:tcPr>
            <w:tcW w:w="945" w:type="dxa"/>
            <w:vAlign w:val="center"/>
          </w:tcPr>
          <w:p w14:paraId="3C9FFA0E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  <w:t>单价（元）</w:t>
            </w:r>
          </w:p>
        </w:tc>
        <w:tc>
          <w:tcPr>
            <w:tcW w:w="945" w:type="dxa"/>
            <w:vAlign w:val="center"/>
          </w:tcPr>
          <w:p w14:paraId="027DF7E1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  <w:t>小计（元）</w:t>
            </w:r>
          </w:p>
        </w:tc>
        <w:tc>
          <w:tcPr>
            <w:tcW w:w="945" w:type="dxa"/>
            <w:vAlign w:val="center"/>
          </w:tcPr>
          <w:p w14:paraId="0EB1C7BD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/>
              </w:rPr>
              <w:t>备注</w:t>
            </w:r>
          </w:p>
        </w:tc>
      </w:tr>
      <w:tr w14:paraId="3E604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1" w:hRule="atLeast"/>
          <w:jc w:val="center"/>
        </w:trPr>
        <w:tc>
          <w:tcPr>
            <w:tcW w:w="2050" w:type="dxa"/>
            <w:vMerge w:val="restart"/>
            <w:vAlign w:val="center"/>
          </w:tcPr>
          <w:p w14:paraId="123282FB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highlight w:val="none"/>
                <w:lang w:eastAsia="zh-CN"/>
              </w:rPr>
              <w:t>园区公共区域病媒生物应急防制及管委会防制</w:t>
            </w:r>
          </w:p>
        </w:tc>
        <w:tc>
          <w:tcPr>
            <w:tcW w:w="1877" w:type="dxa"/>
            <w:vAlign w:val="center"/>
          </w:tcPr>
          <w:p w14:paraId="31081A72">
            <w:pPr>
              <w:spacing w:line="240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消杀、防制费用</w:t>
            </w:r>
          </w:p>
        </w:tc>
        <w:tc>
          <w:tcPr>
            <w:tcW w:w="945" w:type="dxa"/>
            <w:vAlign w:val="center"/>
          </w:tcPr>
          <w:p w14:paraId="33899DBE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945" w:type="dxa"/>
            <w:vAlign w:val="center"/>
          </w:tcPr>
          <w:p w14:paraId="0CBA9450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945" w:type="dxa"/>
            <w:vAlign w:val="center"/>
          </w:tcPr>
          <w:p w14:paraId="4BECB573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</w:p>
        </w:tc>
        <w:tc>
          <w:tcPr>
            <w:tcW w:w="945" w:type="dxa"/>
            <w:vAlign w:val="center"/>
          </w:tcPr>
          <w:p w14:paraId="1B08D1E7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</w:p>
        </w:tc>
        <w:tc>
          <w:tcPr>
            <w:tcW w:w="945" w:type="dxa"/>
            <w:vAlign w:val="center"/>
          </w:tcPr>
          <w:p w14:paraId="245DE77C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</w:p>
        </w:tc>
      </w:tr>
      <w:tr w14:paraId="42D0B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1" w:hRule="atLeast"/>
          <w:jc w:val="center"/>
        </w:trPr>
        <w:tc>
          <w:tcPr>
            <w:tcW w:w="2050" w:type="dxa"/>
            <w:vMerge w:val="continue"/>
          </w:tcPr>
          <w:p w14:paraId="678024B3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1877" w:type="dxa"/>
            <w:vAlign w:val="center"/>
          </w:tcPr>
          <w:p w14:paraId="6152B7D4">
            <w:pPr>
              <w:spacing w:line="240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...</w:t>
            </w:r>
          </w:p>
        </w:tc>
        <w:tc>
          <w:tcPr>
            <w:tcW w:w="945" w:type="dxa"/>
            <w:vAlign w:val="center"/>
          </w:tcPr>
          <w:p w14:paraId="4E5E419F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945" w:type="dxa"/>
            <w:vAlign w:val="center"/>
          </w:tcPr>
          <w:p w14:paraId="39523834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945" w:type="dxa"/>
            <w:vAlign w:val="center"/>
          </w:tcPr>
          <w:p w14:paraId="7BA0AE9C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</w:p>
        </w:tc>
        <w:tc>
          <w:tcPr>
            <w:tcW w:w="945" w:type="dxa"/>
            <w:vAlign w:val="center"/>
          </w:tcPr>
          <w:p w14:paraId="7016CE41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</w:p>
        </w:tc>
        <w:tc>
          <w:tcPr>
            <w:tcW w:w="945" w:type="dxa"/>
            <w:vAlign w:val="center"/>
          </w:tcPr>
          <w:p w14:paraId="417BAEA2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</w:p>
        </w:tc>
      </w:tr>
      <w:tr w14:paraId="437810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1" w:hRule="atLeast"/>
          <w:jc w:val="center"/>
        </w:trPr>
        <w:tc>
          <w:tcPr>
            <w:tcW w:w="2050" w:type="dxa"/>
            <w:vMerge w:val="continue"/>
          </w:tcPr>
          <w:p w14:paraId="4C8D2B7B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1877" w:type="dxa"/>
            <w:vAlign w:val="center"/>
          </w:tcPr>
          <w:p w14:paraId="5A20BA94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仿宋" w:hAnsi="仿宋" w:eastAsia="仿宋" w:cs="仿宋"/>
                <w:sz w:val="20"/>
                <w:szCs w:val="20"/>
                <w:highlight w:val="none"/>
                <w:lang w:eastAsia="zh-CN"/>
              </w:rPr>
              <w:t>…</w:t>
            </w:r>
          </w:p>
        </w:tc>
        <w:tc>
          <w:tcPr>
            <w:tcW w:w="945" w:type="dxa"/>
            <w:vAlign w:val="center"/>
          </w:tcPr>
          <w:p w14:paraId="0533D809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945" w:type="dxa"/>
            <w:vAlign w:val="center"/>
          </w:tcPr>
          <w:p w14:paraId="3B4749FE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945" w:type="dxa"/>
            <w:vAlign w:val="center"/>
          </w:tcPr>
          <w:p w14:paraId="16636D87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</w:p>
        </w:tc>
        <w:tc>
          <w:tcPr>
            <w:tcW w:w="945" w:type="dxa"/>
            <w:vAlign w:val="center"/>
          </w:tcPr>
          <w:p w14:paraId="023FCBF6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</w:p>
        </w:tc>
        <w:tc>
          <w:tcPr>
            <w:tcW w:w="945" w:type="dxa"/>
            <w:vAlign w:val="center"/>
          </w:tcPr>
          <w:p w14:paraId="66DFB48A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</w:p>
        </w:tc>
      </w:tr>
      <w:tr w14:paraId="5F87DC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1" w:hRule="atLeast"/>
          <w:jc w:val="center"/>
        </w:trPr>
        <w:tc>
          <w:tcPr>
            <w:tcW w:w="2050" w:type="dxa"/>
            <w:vMerge w:val="continue"/>
          </w:tcPr>
          <w:p w14:paraId="420A4527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1877" w:type="dxa"/>
            <w:vAlign w:val="center"/>
          </w:tcPr>
          <w:p w14:paraId="0EED78BE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仿宋" w:hAnsi="仿宋" w:eastAsia="仿宋" w:cs="仿宋"/>
                <w:sz w:val="20"/>
                <w:szCs w:val="20"/>
                <w:highlight w:val="none"/>
                <w:lang w:eastAsia="zh-CN"/>
              </w:rPr>
              <w:t>…</w:t>
            </w:r>
          </w:p>
        </w:tc>
        <w:tc>
          <w:tcPr>
            <w:tcW w:w="945" w:type="dxa"/>
            <w:vAlign w:val="center"/>
          </w:tcPr>
          <w:p w14:paraId="7FC8F036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945" w:type="dxa"/>
            <w:vAlign w:val="center"/>
          </w:tcPr>
          <w:p w14:paraId="6355405C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945" w:type="dxa"/>
            <w:vAlign w:val="center"/>
          </w:tcPr>
          <w:p w14:paraId="5F1B90C2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</w:p>
        </w:tc>
        <w:tc>
          <w:tcPr>
            <w:tcW w:w="945" w:type="dxa"/>
            <w:vAlign w:val="center"/>
          </w:tcPr>
          <w:p w14:paraId="4F1F26DB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</w:p>
        </w:tc>
        <w:tc>
          <w:tcPr>
            <w:tcW w:w="945" w:type="dxa"/>
            <w:vAlign w:val="center"/>
          </w:tcPr>
          <w:p w14:paraId="3D923488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</w:p>
        </w:tc>
      </w:tr>
      <w:tr w14:paraId="5DDAFF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1" w:hRule="atLeast"/>
          <w:jc w:val="center"/>
        </w:trPr>
        <w:tc>
          <w:tcPr>
            <w:tcW w:w="2050" w:type="dxa"/>
            <w:vMerge w:val="continue"/>
          </w:tcPr>
          <w:p w14:paraId="300CE974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1877" w:type="dxa"/>
            <w:vAlign w:val="center"/>
          </w:tcPr>
          <w:p w14:paraId="1547BA22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其他费用</w:t>
            </w:r>
          </w:p>
        </w:tc>
        <w:tc>
          <w:tcPr>
            <w:tcW w:w="945" w:type="dxa"/>
            <w:vAlign w:val="center"/>
          </w:tcPr>
          <w:p w14:paraId="6E4EECD7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945" w:type="dxa"/>
            <w:vAlign w:val="center"/>
          </w:tcPr>
          <w:p w14:paraId="35C23A74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945" w:type="dxa"/>
            <w:vAlign w:val="center"/>
          </w:tcPr>
          <w:p w14:paraId="1EA3FDB6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</w:p>
        </w:tc>
        <w:tc>
          <w:tcPr>
            <w:tcW w:w="945" w:type="dxa"/>
            <w:vAlign w:val="center"/>
          </w:tcPr>
          <w:p w14:paraId="39A0CB1E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</w:p>
        </w:tc>
        <w:tc>
          <w:tcPr>
            <w:tcW w:w="945" w:type="dxa"/>
            <w:vAlign w:val="center"/>
          </w:tcPr>
          <w:p w14:paraId="50920D20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</w:p>
        </w:tc>
      </w:tr>
      <w:tr w14:paraId="3F192D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1" w:hRule="atLeast"/>
          <w:jc w:val="center"/>
        </w:trPr>
        <w:tc>
          <w:tcPr>
            <w:tcW w:w="0" w:type="auto"/>
            <w:gridSpan w:val="2"/>
            <w:vAlign w:val="center"/>
          </w:tcPr>
          <w:p w14:paraId="386889CE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  <w:t>磋商总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报价</w:t>
            </w:r>
          </w:p>
        </w:tc>
        <w:tc>
          <w:tcPr>
            <w:tcW w:w="4725" w:type="dxa"/>
            <w:gridSpan w:val="5"/>
            <w:vAlign w:val="center"/>
          </w:tcPr>
          <w:p w14:paraId="6AEA7D32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人民币（大写）：            小写（</w:t>
            </w:r>
            <w:r>
              <w:rPr>
                <w:rFonts w:ascii="Calibri" w:hAnsi="Calibri" w:eastAsia="仿宋" w:cs="Calibri"/>
                <w:sz w:val="20"/>
                <w:szCs w:val="20"/>
                <w:highlight w:val="none"/>
                <w:lang w:eastAsia="zh-CN"/>
              </w:rPr>
              <w:t>¥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：             ）</w:t>
            </w:r>
          </w:p>
        </w:tc>
      </w:tr>
      <w:tr w14:paraId="45D27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1" w:hRule="atLeast"/>
          <w:jc w:val="center"/>
        </w:trPr>
        <w:tc>
          <w:tcPr>
            <w:tcW w:w="8652" w:type="dxa"/>
            <w:gridSpan w:val="7"/>
          </w:tcPr>
          <w:p w14:paraId="33DCC8BA">
            <w:pPr>
              <w:spacing w:line="24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备注：</w:t>
            </w:r>
          </w:p>
          <w:p w14:paraId="09720C92">
            <w:pPr>
              <w:spacing w:line="24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（1）供应商磋商总报价不得超过最高限价或预算，否则响应文件按无效标处理；</w:t>
            </w:r>
          </w:p>
          <w:p w14:paraId="3A5489EE">
            <w:pPr>
              <w:spacing w:line="24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（2）分项报价汇总表中磋商总报价须与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最终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磋商报价表中磋商总报价一致。</w:t>
            </w:r>
          </w:p>
          <w:p w14:paraId="008C75CE">
            <w:pPr>
              <w:spacing w:line="24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（3）供应商可结合自身情况，自行增加报价内容。</w:t>
            </w:r>
          </w:p>
        </w:tc>
      </w:tr>
    </w:tbl>
    <w:p w14:paraId="099C1B7E">
      <w:pPr>
        <w:spacing w:line="240" w:lineRule="auto"/>
        <w:jc w:val="center"/>
        <w:rPr>
          <w:rFonts w:hint="eastAsia" w:ascii="仿宋" w:hAnsi="仿宋" w:eastAsia="仿宋" w:cs="仿宋"/>
          <w:b/>
          <w:sz w:val="20"/>
          <w:szCs w:val="20"/>
          <w:lang w:eastAsia="zh-CN"/>
        </w:rPr>
      </w:pPr>
    </w:p>
    <w:p w14:paraId="3D66FF3A">
      <w:pPr>
        <w:spacing w:line="240" w:lineRule="auto"/>
        <w:ind w:firstLine="4600" w:firstLineChars="2300"/>
        <w:rPr>
          <w:rFonts w:hint="eastAsia" w:ascii="仿宋" w:hAnsi="仿宋" w:eastAsia="仿宋" w:cs="仿宋"/>
          <w:sz w:val="20"/>
          <w:szCs w:val="20"/>
          <w:lang w:eastAsia="zh-CN"/>
        </w:rPr>
      </w:pPr>
      <w:r>
        <w:rPr>
          <w:rFonts w:hint="eastAsia" w:ascii="仿宋" w:hAnsi="仿宋" w:eastAsia="仿宋" w:cs="仿宋"/>
          <w:sz w:val="20"/>
          <w:szCs w:val="20"/>
          <w:lang w:eastAsia="zh-CN"/>
        </w:rPr>
        <w:t>供应商（公章）：</w:t>
      </w:r>
      <w:r>
        <w:rPr>
          <w:rFonts w:hint="eastAsia" w:ascii="仿宋" w:hAnsi="仿宋" w:eastAsia="仿宋" w:cs="仿宋"/>
          <w:sz w:val="20"/>
          <w:szCs w:val="20"/>
          <w:u w:val="single"/>
          <w:lang w:eastAsia="zh-CN"/>
        </w:rPr>
        <w:t xml:space="preserve">                     </w:t>
      </w:r>
    </w:p>
    <w:p w14:paraId="6E2BE6E3">
      <w:pPr>
        <w:spacing w:line="240" w:lineRule="auto"/>
        <w:ind w:firstLine="2800" w:firstLineChars="1400"/>
        <w:jc w:val="center"/>
        <w:rPr>
          <w:rFonts w:hint="eastAsia" w:ascii="仿宋" w:hAnsi="仿宋" w:eastAsia="仿宋" w:cs="仿宋"/>
          <w:sz w:val="20"/>
          <w:szCs w:val="20"/>
          <w:u w:val="single"/>
          <w:lang w:eastAsia="zh-CN"/>
        </w:rPr>
      </w:pPr>
      <w:r>
        <w:rPr>
          <w:rFonts w:hint="eastAsia" w:ascii="仿宋" w:hAnsi="仿宋" w:eastAsia="仿宋" w:cs="仿宋"/>
          <w:sz w:val="20"/>
          <w:szCs w:val="20"/>
          <w:lang w:eastAsia="zh-CN"/>
        </w:rPr>
        <w:t>法定代表人或授权代表（签字或盖章）：</w:t>
      </w:r>
      <w:r>
        <w:rPr>
          <w:rFonts w:hint="eastAsia" w:ascii="仿宋" w:hAnsi="仿宋" w:eastAsia="仿宋" w:cs="仿宋"/>
          <w:sz w:val="20"/>
          <w:szCs w:val="20"/>
          <w:u w:val="single"/>
          <w:lang w:eastAsia="zh-CN"/>
        </w:rPr>
        <w:t xml:space="preserve">          </w:t>
      </w:r>
    </w:p>
    <w:p w14:paraId="454E11E3">
      <w:pPr>
        <w:spacing w:line="240" w:lineRule="auto"/>
        <w:ind w:firstLine="2800" w:firstLineChars="1400"/>
        <w:jc w:val="center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sz w:val="20"/>
          <w:szCs w:val="20"/>
          <w:lang w:eastAsia="zh-CN"/>
        </w:rPr>
        <w:t xml:space="preserve">                  日     期：</w:t>
      </w:r>
      <w:r>
        <w:rPr>
          <w:rFonts w:hint="eastAsia" w:ascii="仿宋" w:hAnsi="仿宋" w:eastAsia="仿宋" w:cs="仿宋"/>
          <w:sz w:val="20"/>
          <w:szCs w:val="20"/>
          <w:u w:val="single"/>
          <w:lang w:eastAsia="zh-CN"/>
        </w:rPr>
        <w:t xml:space="preserve">            </w:t>
      </w:r>
      <w:bookmarkStart w:id="0" w:name="_GoBack"/>
      <w:bookmarkEnd w:id="0"/>
    </w:p>
    <w:p w14:paraId="7A1E52EF"/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C85B06"/>
    <w:rsid w:val="5FC85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微软雅黑" w:hAnsi="微软雅黑" w:eastAsia="微软雅黑" w:cs="Times New Roman"/>
      <w:sz w:val="22"/>
      <w:szCs w:val="22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2025-07-28T02:07:00Z</dcterms:created>
  <dc:creator>ttt</dc:creator>
  <cp:lastModifiedBy>ttt</cp:lastModifiedBy>
  <dcterms:modified xsi:type="dcterms:W3CDTF">2025-07-28T02:08:04Z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9C88C595381741F995CC4E7407A54A75_11</vt:lpwstr>
  </property>
  <property fmtid="{D5CDD505-2E9C-101B-9397-08002B2CF9AE}" pid="4" name="KSOTemplateDocerSaveRecord">
    <vt:lpwstr>eyJoZGlkIjoiNWJlMTZkNzkxYTk2ZWMzMDUxYmFlZDhhYTA3N2E0OTEifQ==</vt:lpwstr>
  </property>
</Properties>
</file>