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版本号：CGZC-2025-110（ZR20GN2025-CS-047）20250728001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2025年病媒生物防制服务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CGZC-2025-110（ZR20GN2025-CS-047）</w:t>
      </w:r>
      <w:r>
        <w:br/>
      </w:r>
      <w:r>
        <w:br/>
      </w:r>
      <w:r>
        <w:br/>
      </w:r>
    </w:p>
    <w:p>
      <w:pPr>
        <w:pStyle w:val="null3"/>
        <w:jc w:val="center"/>
        <w:outlineLvl w:val="2"/>
      </w:pPr>
      <w:r>
        <w:rPr>
          <w:rFonts w:ascii="仿宋_GB2312" w:hAnsi="仿宋_GB2312" w:cs="仿宋_GB2312" w:eastAsia="仿宋_GB2312"/>
          <w:sz w:val="28"/>
          <w:b/>
        </w:rPr>
        <w:t>西安浐灞国际港公共卫生管理服务中心</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西安浐灞国际港公共卫生管理服务中心</w:t>
      </w:r>
      <w:r>
        <w:rPr>
          <w:rFonts w:ascii="仿宋_GB2312" w:hAnsi="仿宋_GB2312" w:cs="仿宋_GB2312" w:eastAsia="仿宋_GB2312"/>
        </w:rPr>
        <w:t>委托，拟对</w:t>
      </w:r>
      <w:r>
        <w:rPr>
          <w:rFonts w:ascii="仿宋_GB2312" w:hAnsi="仿宋_GB2312" w:cs="仿宋_GB2312" w:eastAsia="仿宋_GB2312"/>
        </w:rPr>
        <w:t>2025年病媒生物防制服务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CGZC-2025-110（ZR20GN2025-CS-047）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2025年病媒生物防制服务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园区病媒生物监测、园区公共区域病媒生物应急防制、药械采购及管委会综合楼病媒防制。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采购包1（园区病媒生物监测评估、孳生地调查及药械采购）：属于专门面向中小企业采购。</w:t>
      </w:r>
    </w:p>
    <w:p>
      <w:pPr>
        <w:pStyle w:val="null3"/>
      </w:pPr>
      <w:r>
        <w:rPr>
          <w:rFonts w:ascii="仿宋_GB2312" w:hAnsi="仿宋_GB2312" w:cs="仿宋_GB2312" w:eastAsia="仿宋_GB2312"/>
        </w:rPr>
        <w:t>采购包2（园区公共区域病媒生物应急防制及管委会防制）：属于专门面向中小企业采购。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3、联合体：本项目不接受联合体竞争性磋商。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西安浐灞国际港公共卫生管理服务中心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029-88073016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国家发展和改革委员会办公厅颁发的《关于招标代理服务收费有关问题的通知》（发改办价格『2003』857号）规定按标准收取，若按照标准收取不足6000元，按6000元/包计取。3、成交单位的代理服务费交纳信息 银行户名：陕西中润国际招标有限公司 开户银行：中信银行西安雁塔西路支行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西安浐灞国际港公共卫生管理服务中心</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西安浐灞国际港公共卫生管理服务中心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西安浐灞国际港公共卫生管理服务中心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符合国家法律法规规定的标准、竞争性磋商文件和成交供应商竞争性磋商响应文件所要求的技术标准。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符合国家法律法规规定的标准、竞争性磋商文件和成交供应商竞争性磋商响应文件所要求的技术标准。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园区病媒生物监测、园区公共区域病媒生物应急防制、药械采购及管委会综合楼病媒防制。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园区病媒生物监测评估、孳生地调查及药械采购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园区公共区域病媒生物应急防制及管委会防制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标的名称：园区病媒生物监测评估、孳生地调查及药械采购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按照《关于印发2024年西安市病媒生物防制工作方案的通知》及国家卫生复审要求，为有效降低辖区鼠、蚊、蝇、蟑螂等病媒生物密度，将病媒生物危害和媒介生物性传染病发生的危险性降至最低，本次采购2025年病媒生物防制服务。</w:t>
            </w:r>
          </w:p>
          <w:p>
            <w:pPr>
              <w:pStyle w:val="null3"/>
            </w:pPr>
            <w:r>
              <w:rPr>
                <w:rFonts w:ascii="仿宋_GB2312" w:hAnsi="仿宋_GB2312" w:cs="仿宋_GB2312" w:eastAsia="仿宋_GB2312"/>
              </w:rPr>
              <w:t>二、服务内容：</w:t>
            </w:r>
          </w:p>
          <w:p>
            <w:pPr>
              <w:pStyle w:val="null3"/>
              <w:ind w:firstLine="400"/>
            </w:pPr>
            <w:r>
              <w:rPr>
                <w:rFonts w:ascii="仿宋_GB2312" w:hAnsi="仿宋_GB2312" w:cs="仿宋_GB2312" w:eastAsia="仿宋_GB2312"/>
              </w:rPr>
              <w:t>园区病媒生物监测评估、孳生地调查及药械采购。</w:t>
            </w:r>
          </w:p>
          <w:p>
            <w:pPr>
              <w:pStyle w:val="null3"/>
            </w:pPr>
            <w:r>
              <w:rPr>
                <w:rFonts w:ascii="仿宋_GB2312" w:hAnsi="仿宋_GB2312" w:cs="仿宋_GB2312" w:eastAsia="仿宋_GB2312"/>
              </w:rPr>
              <w:t>三、技术要求：</w:t>
            </w:r>
          </w:p>
          <w:p>
            <w:pPr>
              <w:pStyle w:val="null3"/>
              <w:ind w:firstLine="400"/>
            </w:pPr>
            <w:r>
              <w:rPr>
                <w:rFonts w:ascii="仿宋_GB2312" w:hAnsi="仿宋_GB2312" w:cs="仿宋_GB2312" w:eastAsia="仿宋_GB2312"/>
              </w:rPr>
              <w:t>供应商应具备专业资质、专业从业人员，按照科学有效的防制方法对区域内病媒生物进行综合监测评估、孳生地调查及药械采购，服务标准必须达到国家爱卫会标准及行业规范和管理。</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园区病媒生物监测评估、孳生地调查及药械采购：</w:t>
            </w:r>
          </w:p>
          <w:p>
            <w:pPr>
              <w:pStyle w:val="null3"/>
              <w:ind w:firstLine="400"/>
            </w:pPr>
            <w:r>
              <w:rPr>
                <w:rFonts w:ascii="仿宋_GB2312" w:hAnsi="仿宋_GB2312" w:cs="仿宋_GB2312" w:eastAsia="仿宋_GB2312"/>
              </w:rPr>
              <w:t>1、监测要求：按月进行园区全范围病媒生物监测，同时按照要求上报监测数据资料，监测内。 如下表（不包括甲方临时安排的监测任务）：</w:t>
            </w:r>
          </w:p>
          <w:tbl>
            <w:tblPr>
              <w:tblInd w:type="dxa" w:w="120"/>
              <w:tblBorders>
                <w:top w:val="none" w:color="000000" w:sz="4"/>
                <w:left w:val="none" w:color="000000" w:sz="4"/>
                <w:bottom w:val="none" w:color="000000" w:sz="4"/>
                <w:right w:val="none" w:color="000000" w:sz="4"/>
                <w:insideH w:val="none"/>
                <w:insideV w:val="none"/>
              </w:tblBorders>
            </w:tblPr>
            <w:tblGrid>
              <w:gridCol w:w="364"/>
              <w:gridCol w:w="340"/>
              <w:gridCol w:w="350"/>
              <w:gridCol w:w="405"/>
              <w:gridCol w:w="241"/>
              <w:gridCol w:w="99"/>
              <w:gridCol w:w="129"/>
              <w:gridCol w:w="207"/>
              <w:gridCol w:w="418"/>
            </w:tblGrid>
            <w:tr>
              <w:tc>
                <w:tcPr>
                  <w:tcW w:type="dxa" w:w="3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监测类群</w:t>
                  </w:r>
                </w:p>
              </w:tc>
              <w:tc>
                <w:tcPr>
                  <w:tcW w:type="dxa" w:w="3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监测方法</w:t>
                  </w:r>
                </w:p>
              </w:tc>
              <w:tc>
                <w:tcPr>
                  <w:tcW w:type="dxa" w:w="3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监测频次</w:t>
                  </w:r>
                </w:p>
              </w:tc>
              <w:tc>
                <w:tcPr>
                  <w:tcW w:type="dxa" w:w="4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监测时间</w:t>
                  </w:r>
                </w:p>
              </w:tc>
              <w:tc>
                <w:tcPr>
                  <w:tcW w:type="dxa" w:w="3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上半月</w:t>
                  </w:r>
                </w:p>
              </w:tc>
              <w:tc>
                <w:tcPr>
                  <w:tcW w:type="dxa" w:w="33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下半月</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数据上报时间</w:t>
                  </w:r>
                </w:p>
              </w:tc>
            </w:tr>
            <w:tr>
              <w:tc>
                <w:tcPr>
                  <w:tcW w:type="dxa" w:w="364"/>
                  <w:vMerge/>
                  <w:tcBorders>
                    <w:top w:val="single" w:color="000000" w:sz="4"/>
                    <w:left w:val="single" w:color="000000" w:sz="4"/>
                    <w:bottom w:val="single" w:color="000000" w:sz="4"/>
                    <w:right w:val="single" w:color="000000" w:sz="4"/>
                  </w:tcBorders>
                </w:tcPr>
                <w:p/>
              </w:tc>
              <w:tc>
                <w:tcPr>
                  <w:tcW w:type="dxa" w:w="340"/>
                  <w:vMerge/>
                  <w:tcBorders>
                    <w:top w:val="single" w:color="000000" w:sz="4"/>
                    <w:left w:val="single" w:color="000000" w:sz="4"/>
                    <w:bottom w:val="single" w:color="000000" w:sz="4"/>
                    <w:right w:val="single" w:color="000000" w:sz="4"/>
                  </w:tcBorders>
                </w:tcPr>
                <w:p/>
              </w:tc>
              <w:tc>
                <w:tcPr>
                  <w:tcW w:type="dxa" w:w="350"/>
                  <w:vMerge/>
                  <w:tcBorders>
                    <w:top w:val="single" w:color="000000" w:sz="4"/>
                    <w:left w:val="single" w:color="000000" w:sz="4"/>
                    <w:bottom w:val="single" w:color="000000" w:sz="4"/>
                    <w:right w:val="single" w:color="000000" w:sz="4"/>
                  </w:tcBorders>
                </w:tcPr>
                <w:p/>
              </w:tc>
              <w:tc>
                <w:tcPr>
                  <w:tcW w:type="dxa" w:w="405"/>
                  <w:vMerge/>
                  <w:tcBorders>
                    <w:top w:val="singl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上旬</w:t>
                  </w:r>
                </w:p>
              </w:tc>
              <w:tc>
                <w:tcPr>
                  <w:tcW w:type="dxa" w:w="2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中旬</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下旬</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鼠</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夹夜法</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1次/月</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每月</w:t>
                  </w:r>
                </w:p>
              </w:tc>
              <w:tc>
                <w:tcPr>
                  <w:tcW w:type="dxa" w:w="67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鼠</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次月1日前</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蚊（成蚊）</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诱蚊灯法</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2次/月</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每半月（4-10月）</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成蚊</w:t>
                  </w:r>
                </w:p>
              </w:tc>
              <w:tc>
                <w:tcPr>
                  <w:tcW w:type="dxa" w:w="3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成蚊</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次月1日前</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蚊（幼蚊）</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布雷图指数法</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1次/月</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每月</w:t>
                  </w:r>
                </w:p>
                <w:p>
                  <w:pPr>
                    <w:pStyle w:val="null3"/>
                    <w:jc w:val="both"/>
                  </w:pPr>
                  <w:r>
                    <w:rPr>
                      <w:rFonts w:ascii="仿宋_GB2312" w:hAnsi="仿宋_GB2312" w:cs="仿宋_GB2312" w:eastAsia="仿宋_GB2312"/>
                      <w:sz w:val="19"/>
                    </w:rPr>
                    <w:t>（4-10月）</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幼蚊</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次月1日前</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笼诱法</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1次/月</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每月</w:t>
                  </w:r>
                </w:p>
                <w:p>
                  <w:pPr>
                    <w:pStyle w:val="null3"/>
                    <w:jc w:val="both"/>
                  </w:pPr>
                  <w:r>
                    <w:rPr>
                      <w:rFonts w:ascii="仿宋_GB2312" w:hAnsi="仿宋_GB2312" w:cs="仿宋_GB2312" w:eastAsia="仿宋_GB2312"/>
                      <w:sz w:val="19"/>
                    </w:rPr>
                    <w:t>（4-10月）</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蝇</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次月1日前</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蟑</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粘捕法</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1次/月</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每月</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蟑</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次月1日前</w:t>
                  </w:r>
                </w:p>
              </w:tc>
            </w:tr>
          </w:tbl>
          <w:p>
            <w:pPr>
              <w:pStyle w:val="null3"/>
            </w:pPr>
            <w:r>
              <w:rPr>
                <w:rFonts w:ascii="仿宋_GB2312" w:hAnsi="仿宋_GB2312" w:cs="仿宋_GB2312" w:eastAsia="仿宋_GB2312"/>
              </w:rPr>
              <w:t xml:space="preserve">  2、药械：不少于5万元的采购药械，所使用的所有病媒生物防制药械必须符合国家相关要求，货物来源正规，货物要求低毒、安全、环保。</w:t>
            </w:r>
          </w:p>
          <w:p>
            <w:pPr>
              <w:pStyle w:val="null3"/>
            </w:pPr>
            <w:r>
              <w:rPr>
                <w:rFonts w:ascii="仿宋_GB2312" w:hAnsi="仿宋_GB2312" w:cs="仿宋_GB2312" w:eastAsia="仿宋_GB2312"/>
              </w:rPr>
              <w:t xml:space="preserve">  3、评估及孳生地调查：服务期内完成不少于2次病媒生物评估及6次孳生地调查工作。</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（一）服务期限</w:t>
            </w:r>
          </w:p>
          <w:p>
            <w:pPr>
              <w:pStyle w:val="null3"/>
              <w:ind w:firstLine="400"/>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1、付款条件说明：本项目设定预付款，合同签订后，支付合同总金额的 40.00%。</w:t>
            </w:r>
          </w:p>
          <w:p>
            <w:pPr>
              <w:pStyle w:val="null3"/>
              <w:jc w:val="both"/>
            </w:pPr>
            <w:r>
              <w:rPr>
                <w:rFonts w:ascii="仿宋_GB2312" w:hAnsi="仿宋_GB2312" w:cs="仿宋_GB2312" w:eastAsia="仿宋_GB2312"/>
              </w:rPr>
              <w:t>2、付款条件说明：服务期结束后 ，并经甲方验收合格后，达到付款条件起60日内，支付合同总金额的 60.00%。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标的名称：园区公共区域病媒生物应急防制及管委会防制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按照《关于印发2024年西安市病媒生物防制工作方案的通知》及国家卫生复审要求，为有效降低辖区鼠、蚊、蝇、蟑螂等病媒生物密度，将病媒生物危害和媒介生物性传染病发生的危险性降至最低，本次采购2025年病媒生物防制服务。</w:t>
            </w:r>
          </w:p>
          <w:p>
            <w:pPr>
              <w:pStyle w:val="null3"/>
            </w:pPr>
            <w:r>
              <w:rPr>
                <w:rFonts w:ascii="仿宋_GB2312" w:hAnsi="仿宋_GB2312" w:cs="仿宋_GB2312" w:eastAsia="仿宋_GB2312"/>
              </w:rPr>
              <w:t>二、服务内容：</w:t>
            </w:r>
          </w:p>
          <w:p>
            <w:pPr>
              <w:pStyle w:val="null3"/>
              <w:ind w:firstLine="400"/>
            </w:pPr>
            <w:r>
              <w:rPr>
                <w:rFonts w:ascii="仿宋_GB2312" w:hAnsi="仿宋_GB2312" w:cs="仿宋_GB2312" w:eastAsia="仿宋_GB2312"/>
              </w:rPr>
              <w:t>园区公共区域病媒生物应急防制及管委会防制。</w:t>
            </w:r>
          </w:p>
          <w:p>
            <w:pPr>
              <w:pStyle w:val="null3"/>
            </w:pPr>
            <w:r>
              <w:rPr>
                <w:rFonts w:ascii="仿宋_GB2312" w:hAnsi="仿宋_GB2312" w:cs="仿宋_GB2312" w:eastAsia="仿宋_GB2312"/>
              </w:rPr>
              <w:t>三、技术要求：</w:t>
            </w:r>
          </w:p>
          <w:p>
            <w:pPr>
              <w:pStyle w:val="null3"/>
              <w:ind w:firstLine="400"/>
            </w:pPr>
            <w:r>
              <w:rPr>
                <w:rFonts w:ascii="仿宋_GB2312" w:hAnsi="仿宋_GB2312" w:cs="仿宋_GB2312" w:eastAsia="仿宋_GB2312"/>
              </w:rPr>
              <w:t>供应商应具备专业资质、专业从业人员，按照科学有效的防制方法对区域内病媒生物进行综合防制，服务标准必须达到国家爱卫会标准及行业规范和管理。</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园区公共区域病媒生物应急防制及管委会防制：</w:t>
            </w:r>
          </w:p>
          <w:p>
            <w:pPr>
              <w:pStyle w:val="null3"/>
            </w:pPr>
            <w:r>
              <w:rPr>
                <w:rFonts w:ascii="仿宋_GB2312" w:hAnsi="仿宋_GB2312" w:cs="仿宋_GB2312" w:eastAsia="仿宋_GB2312"/>
              </w:rPr>
              <w:t xml:space="preserve">  1、浐灞国际港管委会综合楼消杀范围包括：综合楼全范围（含地下车库）、职工食堂、地上停车场、外围绿地及景观水体，总面积约22.5万㎡，管委会日常消杀频次为2次/月，8月-10月及11月、12月为病媒生物繁殖高峰期，可根据实际增加消杀作业频次；</w:t>
            </w:r>
          </w:p>
          <w:p>
            <w:pPr>
              <w:pStyle w:val="null3"/>
            </w:pPr>
            <w:r>
              <w:rPr>
                <w:rFonts w:ascii="仿宋_GB2312" w:hAnsi="仿宋_GB2312" w:cs="仿宋_GB2312" w:eastAsia="仿宋_GB2312"/>
              </w:rPr>
              <w:t xml:space="preserve">  2、全年不少于4次浐灞国际港公共区域全范围防制，如冬春季灭鼠、夏秋季灭蚊蝇等；</w:t>
            </w:r>
          </w:p>
          <w:p>
            <w:pPr>
              <w:pStyle w:val="null3"/>
            </w:pPr>
            <w:r>
              <w:rPr>
                <w:rFonts w:ascii="仿宋_GB2312" w:hAnsi="仿宋_GB2312" w:cs="仿宋_GB2312" w:eastAsia="仿宋_GB2312"/>
              </w:rPr>
              <w:t xml:space="preserve">  3、病媒生物消杀所需的交通、病媒生物防制设备、药品、器械、人员防护设备等由乙方负责；</w:t>
            </w:r>
          </w:p>
          <w:p>
            <w:pPr>
              <w:pStyle w:val="null3"/>
            </w:pPr>
            <w:r>
              <w:rPr>
                <w:rFonts w:ascii="仿宋_GB2312" w:hAnsi="仿宋_GB2312" w:cs="仿宋_GB2312" w:eastAsia="仿宋_GB2312"/>
              </w:rPr>
              <w:t xml:space="preserve">  4、乙方建立不少于3人的病媒生物防制应急队伍，随时应对突发病媒生物事件的处置。</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（一）服务期限</w:t>
            </w:r>
          </w:p>
          <w:p>
            <w:pPr>
              <w:pStyle w:val="null3"/>
              <w:ind w:firstLine="400"/>
            </w:pPr>
            <w:r>
              <w:rPr>
                <w:rFonts w:ascii="仿宋_GB2312" w:hAnsi="仿宋_GB2312" w:cs="仿宋_GB2312" w:eastAsia="仿宋_GB2312"/>
              </w:rPr>
              <w:t xml:space="preserve"> 自合同签订之日起1年</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1、付款条件说明：本项目设定预付款，合同签订后，支付合同总金额的 40.00%。</w:t>
            </w:r>
          </w:p>
          <w:p>
            <w:pPr>
              <w:pStyle w:val="null3"/>
              <w:jc w:val="both"/>
            </w:pPr>
            <w:r>
              <w:rPr>
                <w:rFonts w:ascii="仿宋_GB2312" w:hAnsi="仿宋_GB2312" w:cs="仿宋_GB2312" w:eastAsia="仿宋_GB2312"/>
              </w:rPr>
              <w:t>2、付款条件说明：服务期结束后 ，并经甲方验收合格后，达到付款条件起60日内，支付合同总金额的 60.00%。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达到国家爱卫会标准及行业规范和管理。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必须达到国家爱卫会标准及行业规范和管理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本项目设定预付款，合同签订后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 ，并经甲方验收合格后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本项目设定预付款，合同签订后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服务期结束后 ，并经甲方验收合格后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王经理，029-88825655。 3.4.2本项目专门面向中小企业，供应商应为中型、小型、微型企业或监狱企业或残疾人福利性单位。项目所属行业：其他未列明行业。从业人员300人以下的为中小微型企业。其中，从业人员100人及以上的为中型企业；从业人员10人及以上的为小型企业；从业人员10人以下的为微型企业。 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 《财政部 发展改革委 生态环境部 国家监管总局关于调整优化节能产品、环境标志产品政府采购执行机制的通知》（财库〔2019〕9号）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 3.4.4为保证服务质量，同一供应商可同时参与多个包，但仅允许中一个包。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供应商2024年1月至今任意一个月已缴纳的完税凭证或税务机关开具的完税证明（任意税种）（银行出具的缴税凭证或税务机关出具的证明的复印件，并加盖本单位公章）。依法免税的供应商，应提供相应文件证明其依法免税。（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5）供应商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供应商2024年1月至今任意一个月已缴纳的完税凭证或税务机关开具的完税证明（任意税种）（银行出具的缴税凭证或税务机关出具的证明的复印件，并加盖本单位公章）。依法免税的供应商，应提供相应文件证明其依法免税。（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5）供应商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首次磋商报价表--采购包1.docx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政府采购供应商拒绝政府采购领域商业贿赂承诺书.docx 残疾人福利性单位声明函 标的清单 资格证明材料.docx 响应函 服务方案.docx 监狱企业的证明文件 首次磋商报价表--采购包1.docx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首次磋商报价表--采购包1.docx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有效期应符合磋商文件要求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供应商针对同一服务未递交两份或多份内容不同的响应文件，未出现选择性报价，且报价不超过预算金额或最高限价</w:t>
            </w:r>
          </w:p>
        </w:tc>
        <w:tc>
          <w:tcPr>
            <w:tcW w:type="dxa" w:w="1661"/>
          </w:tcPr>
          <w:p>
            <w:pPr>
              <w:pStyle w:val="null3"/>
            </w:pPr>
            <w:r>
              <w:rPr>
                <w:rFonts w:ascii="仿宋_GB2312" w:hAnsi="仿宋_GB2312" w:cs="仿宋_GB2312" w:eastAsia="仿宋_GB2312"/>
              </w:rPr>
              <w:t>首次磋商报价表--采购包1.docx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首次磋商报价表--采购包2.docx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首次磋商报价表--采购包2.docx 响应文件封面 政府采购供应商拒绝政府采购领域商业贿赂承诺书.docx 残疾人福利性单位声明函 标的清单 资格证明材料.docx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首次磋商报价表--采购包2.docx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有效期应符合磋商文件要求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供应商针对同一服务未递交两份或多份内容不同的响应文件，未出现选择性报价，且报价不超过预算金额或最高限价</w:t>
            </w:r>
          </w:p>
        </w:tc>
        <w:tc>
          <w:tcPr>
            <w:tcW w:type="dxa" w:w="1661"/>
          </w:tcPr>
          <w:p>
            <w:pPr>
              <w:pStyle w:val="null3"/>
            </w:pPr>
            <w:r>
              <w:rPr>
                <w:rFonts w:ascii="仿宋_GB2312" w:hAnsi="仿宋_GB2312" w:cs="仿宋_GB2312" w:eastAsia="仿宋_GB2312"/>
              </w:rPr>
              <w:t>首次磋商报价表--采购包2.docx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依据供应商提供的本项目的实施方案评审，内容包含： 1.环境分析（3分）：内容完整、可实施、且有针对性得3分；内容完整、可实施得2分；方案基本完整得1分；未提供不得分。 2.实施思路（3分）：内容完整、可实施、且有针对性得3分；内容完整、可实施得2分；方案基本完整得1分；未提供不得分。 3.工作计划（3分）：内容完整、可实施、且有针对性得3分；内容完整、可实施得2分；方案基本完整得1分；未提供不得分。 4.进度保障方案（3分）：内容完整、可实施、且有针对性得3分；内容完整、可实施得2分；方案基本完整得1分；未提供不得分。 5.技术支持、创新、管理及制度（3分）：内容完整、可实施、且有针对性得3分；内容完整、可实施得2分；方案基本完整得1分；未提供不得分。 6.质控方案（3分）：内容完整、可实施、且有针对性得3分；内容完整、可实施得2分；方案基本完整得1分；未提供不得分。 7.服务承诺（3分）：内容完整、可实施、且有针对性得3分；内容完整、可实施得2分；方案基本完整得1分；未提供不得分。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药械质量保证</w:t>
            </w:r>
          </w:p>
        </w:tc>
        <w:tc>
          <w:tcPr>
            <w:tcW w:type="dxa" w:w="2492"/>
          </w:tcPr>
          <w:p>
            <w:pPr>
              <w:pStyle w:val="null3"/>
            </w:pPr>
            <w:r>
              <w:rPr>
                <w:rFonts w:ascii="仿宋_GB2312" w:hAnsi="仿宋_GB2312" w:cs="仿宋_GB2312" w:eastAsia="仿宋_GB2312"/>
              </w:rPr>
              <w:t>依据供应商提供的本项目的药械质量保证评审，内容包含： 1.来源渠道（6分）：内容完整、可实施、且有针对性得6分；内容完整、可实施得4分；方案基本完整得2分；未提供不得分。 2.质检报告（6分）：内容完整、可实施、且有针对性得6分；内容完整、可实施得4分；方案基本完整得2分；未提供不得分。 3.机械设备配备及使用状况（包含名称、型号、数量、状况、适用环境等）（6分）：内容完整、可实施、且有针对性得6分；内容完整、可实施得4分；方案基本完整得2分；未提供不得分。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项目机构及人员配备</w:t>
            </w:r>
          </w:p>
        </w:tc>
        <w:tc>
          <w:tcPr>
            <w:tcW w:type="dxa" w:w="2492"/>
          </w:tcPr>
          <w:p>
            <w:pPr>
              <w:pStyle w:val="null3"/>
            </w:pPr>
            <w:r>
              <w:rPr>
                <w:rFonts w:ascii="仿宋_GB2312" w:hAnsi="仿宋_GB2312" w:cs="仿宋_GB2312" w:eastAsia="仿宋_GB2312"/>
              </w:rPr>
              <w:t>依据供应商提供的本项目的项目机构及人员配备评审，内容包含： 1.拟投入人员数量、工作经验（6分）：内容完整、可实施、且有针对性得6分；内容完整、可实施得4分；方案基本完整得2分；未提供不得分。 2.人员分工方案（6分）：内容完整、可实施、且有针对性得6分；内容完整、可实施得4分；方案基本完整得2分；未提供不得分。 3.团队人员管理方案（6分）：内容完整、可实施、且有针对性得6分；内容完整、可实施得4分；方案基本完整得2分；未提供不得分。 4.配备专员配合采购人检查（6分）：内容完整、可实施、且有针对性得6分；内容完整、可实施得4分；方案基本完整得2分；未提供不得分。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特殊情况、突发情况的应急保障措施</w:t>
            </w:r>
          </w:p>
        </w:tc>
        <w:tc>
          <w:tcPr>
            <w:tcW w:type="dxa" w:w="2492"/>
          </w:tcPr>
          <w:p>
            <w:pPr>
              <w:pStyle w:val="null3"/>
            </w:pPr>
            <w:r>
              <w:rPr>
                <w:rFonts w:ascii="仿宋_GB2312" w:hAnsi="仿宋_GB2312" w:cs="仿宋_GB2312" w:eastAsia="仿宋_GB2312"/>
              </w:rPr>
              <w:t>依据供应商提供的本项目的特殊情况、突发情况的应急保障措施评审，内容包含： 1.项目实施过程中可能会发生的特殊情况、突发事件（3分）：内容完整、可实施、且有针对性得3分；内容完整、可实施得2分；方案基本完整得1分；未提供不得分。 2.突发情况的应对措施（3分）：内容完整、可实施、且有针对性得3分；内容完整、可实施得2分；方案基本完整得1分；未提供不得分。 3.风险控制方法（3分）：内容完整、可实施、且有针对性得3分；内容完整、可实施得2分；方案基本完整得1分；未提供不得分。 4.应急响应时间（3分）：内容完整、可实施、且有针对性得3分；内容完整、可实施得2分；方案基本完整得1分；未提供不得分。 5.项目重难点分析（3分）：内容完整、可实施、且有针对性得3分；内容完整、可实施得2分；方案基本完整得1分；未提供不得分。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监测、评估及孳生地调查方案</w:t>
            </w:r>
          </w:p>
        </w:tc>
        <w:tc>
          <w:tcPr>
            <w:tcW w:type="dxa" w:w="2492"/>
          </w:tcPr>
          <w:p>
            <w:pPr>
              <w:pStyle w:val="null3"/>
            </w:pPr>
            <w:r>
              <w:rPr>
                <w:rFonts w:ascii="仿宋_GB2312" w:hAnsi="仿宋_GB2312" w:cs="仿宋_GB2312" w:eastAsia="仿宋_GB2312"/>
              </w:rPr>
              <w:t>供应商提供的监测、评估及孳生地调查方案，优于采购文件要求得2分；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供应商提供2022年1月至今类似项目业绩（以合同签订日期为准），每提供一份得2分，最高得10分。 注：业绩须提供合同复印件，并加盖供应商公章。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满足磋商文件要求且最终投标价格最低的磋商报价为评标基准价，其价格分为满分。其他投标人的价格分统一按照下列公式计算： 磋商报价得分=(磋商基准价／最终磋商报价)×10计算分数时四舍五入取小数点后两位。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依据供应商提供的本项目的实施方案评审，内容包含： 1.需求分析（3分）：内容完整、可实施、且有针对性得3分；内容完整、可实施得2分；方案基本完整得1分；未提供不得分。 2.实施思路（3分）：内容完整、可实施、且有针对性得3分；内容完整、可实施得2分；方案基本完整得1分；未提供不得分。 3.进度保障方案（3分）：内容完整、可实施、且有针对性得3分；内容完整、可实施得2分；方案基本完整得1分；未提供不得分。 4.技术支持、创新、管理及制度（3分）：内容完整、可实施、且有针对性得3分；内容完整、可实施得2分；方案基本完整得1分；未提供不得分。 5.防制标准（3分）：内容完整、可实施、且有针对性得3分；内容完整、可实施得2分；方案基本完整得1分；未提供不得分。 6.服务承诺（3分）：内容完整、可实施、且有针对性得3分；内容完整、可实施得2分；方案基本完整得1分；未提供不得分。 7.消杀前的宣传方案（3分）：内容完整、可实施、且有针对性得3分；内容完整、可实施得2分；方案基本完整得1分；未提供不得分。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项目机构及人员配备</w:t>
            </w:r>
          </w:p>
        </w:tc>
        <w:tc>
          <w:tcPr>
            <w:tcW w:type="dxa" w:w="2492"/>
          </w:tcPr>
          <w:p>
            <w:pPr>
              <w:pStyle w:val="null3"/>
            </w:pPr>
            <w:r>
              <w:rPr>
                <w:rFonts w:ascii="仿宋_GB2312" w:hAnsi="仿宋_GB2312" w:cs="仿宋_GB2312" w:eastAsia="仿宋_GB2312"/>
              </w:rPr>
              <w:t>依据供应商提供的本项目的项目机构及人员配备评审，内容包含： 1.拟投入人员数量、工作经验（6分）：内容完整、可实施、且有针对性得6分；内容完整、可实施得4分；方案基本完整得2分；未提供不得分。 2.人员分工方案（6分）：内容完整、可实施、且有针对性得6分；内容完整、可实施得4分；方案基本完整得2分；未提供不得分。 3.团队人员管理方案（6分）：内容完整、可实施、且有针对性得6分；内容完整、可实施得4分；方案基本完整得2分；未提供不得分。 4.配备专员配合采购人检查（6分）：内容完整、可实施、且有针对性得6分；内容完整、可实施得4分；方案基本完整得2分；未提供不得分。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依据供应商提供的本项目的质量保证措施评审，内容包含： 1.人员服务质量保障措施（6分）：内容完整、可实施、且有针对性得6分；内容完整、可实施得4分；方案基本完整得2分；未提供不得分。 2.安全管理服务保障（6分）：内容完整、可实施、且有针对性得6分；内容完整、可实施得4分；方案基本完整得2分；未提供不得分。 3.工作成果（包括消杀鼠、蚊、蝇、蟑螂标准等需达到采购内容质量要求）质量保障措施（6分）：内容完整、可实施、且有针对性得6分；内容完整、可实施得4分；方案基本完整得2分；未提供不得分。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安全措施及突发事件应急措施</w:t>
            </w:r>
          </w:p>
        </w:tc>
        <w:tc>
          <w:tcPr>
            <w:tcW w:type="dxa" w:w="2492"/>
          </w:tcPr>
          <w:p>
            <w:pPr>
              <w:pStyle w:val="null3"/>
            </w:pPr>
            <w:r>
              <w:rPr>
                <w:rFonts w:ascii="仿宋_GB2312" w:hAnsi="仿宋_GB2312" w:cs="仿宋_GB2312" w:eastAsia="仿宋_GB2312"/>
              </w:rPr>
              <w:t>依据供应商提供的本项目的安全措施及突发事件应急措施评审，内容包含： 1.项目实施过程中可能会出现突发病媒传染病疫情或重大病媒生物入侵事件（6分）：内容完整、可实施、且有针对性得6分；内容完整、可实施得4分；方案基本完整得2分；未提供不得分。 2.突发情况的应对措施（6分）：内容完整、可实施、且有针对性得6分；内容完整、可实施得4分；方案基本完整得2分；未提供不得分。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依据供应商提供的本项目的合理化建议评审，内容包含： 1.如何避免病媒的传播（1.5分）：内容完整、可实施、且有针对性得1.5分；内容完整、可实施得1分；方案基本完整得0.5分；未提供不得分。 2.病媒的消杀措施（1.5分）：内容完整、可实施、且有针对性得1.5分；内容完整、可实施得1分；方案基本完整得0.5分；未提供不得分。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病媒生物防制应急队伍</w:t>
            </w:r>
          </w:p>
        </w:tc>
        <w:tc>
          <w:tcPr>
            <w:tcW w:type="dxa" w:w="2492"/>
          </w:tcPr>
          <w:p>
            <w:pPr>
              <w:pStyle w:val="null3"/>
            </w:pPr>
            <w:r>
              <w:rPr>
                <w:rFonts w:ascii="仿宋_GB2312" w:hAnsi="仿宋_GB2312" w:cs="仿宋_GB2312" w:eastAsia="仿宋_GB2312"/>
              </w:rPr>
              <w:t>病媒生物防制应急队伍优于采购文件得2分。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供应商提供2022年1月至今类似项目业绩（以合同签订日期为准），每提供一份得2分，最高得10分。 注：业绩须提供合同复印件，并加盖供应商公章。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满足磋商文件要求且最终投标价格最低的磋商报价为评标基准价，其价格分为满分。其他投标人的价格分统一按照下列公式计算： 磋商报价得分=(磋商基准价／最终磋商报价)×10计算分数时四舍五入取小数点后两位。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详见附件：首次磋商报价表--采购包1.docx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详见附件：首次磋商报价表--采购包2.docx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详见附件：2025年病媒生物防制服务--合同.docx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