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版本号：CGZC-2025-034（ZR20GN2025-CS-028）.20250729001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新筑街道农村生活污水治理项目2025-2026运维服务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CGZC-2025-034（ZR20GN2025-CS-028）.</w:t>
      </w:r>
      <w:r>
        <w:br/>
      </w:r>
      <w:r>
        <w:br/>
      </w:r>
      <w:r>
        <w:br/>
      </w:r>
    </w:p>
    <w:p>
      <w:pPr>
        <w:pStyle w:val="null3"/>
        <w:jc w:val="center"/>
        <w:outlineLvl w:val="2"/>
      </w:pPr>
      <w:r>
        <w:rPr>
          <w:rFonts w:ascii="仿宋_GB2312" w:hAnsi="仿宋_GB2312" w:cs="仿宋_GB2312" w:eastAsia="仿宋_GB2312"/>
          <w:sz w:val="28"/>
          <w:b/>
        </w:rPr>
        <w:t>新筑街道办事处</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新筑街道办事处</w:t>
      </w:r>
      <w:r>
        <w:rPr>
          <w:rFonts w:ascii="仿宋_GB2312" w:hAnsi="仿宋_GB2312" w:cs="仿宋_GB2312" w:eastAsia="仿宋_GB2312"/>
        </w:rPr>
        <w:t>委托，拟对</w:t>
      </w:r>
      <w:r>
        <w:rPr>
          <w:rFonts w:ascii="仿宋_GB2312" w:hAnsi="仿宋_GB2312" w:cs="仿宋_GB2312" w:eastAsia="仿宋_GB2312"/>
        </w:rPr>
        <w:t>新筑街道农村生活污水治理项目2025-2026运维服务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CGZC-2025-034（ZR20GN2025-CS-028）.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新筑街道农村生活污水治理项目2025-2026运维服务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主要服务内容包括负责现有的污水处理站、收水池及污水管网等农村生活污水处理设施的运维管理工作。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采购包1（新筑街道农村生活污水治理项目2025-2026运维服务）：属于专门面向中小企业采购。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1、法定代表人(负责人）授权委托书/法定代表人(负责人）身份证明：法定代表人参加竞争性磋商的，须出示身份证；法定代表人授权他人参加竞争性磋商的，须提供法定代表人授权委托书及被授权人身份证；</w:t>
      </w:r>
    </w:p>
    <w:p>
      <w:pPr>
        <w:pStyle w:val="null3"/>
      </w:pPr>
      <w:r>
        <w:rPr>
          <w:rFonts w:ascii="仿宋_GB2312" w:hAnsi="仿宋_GB2312" w:cs="仿宋_GB2312" w:eastAsia="仿宋_GB2312"/>
        </w:rPr>
        <w:t>2、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3、联合体：本项目不接受联合体竞争性磋商。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新筑街道办事处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西安市浐灞国际港新筑街道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029-83411364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张经理 王经理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参照《国家计委关于印发&lt;招标代理服务收费管理暂行办法&gt;的通知》（计价格[2002]1980号）和国家发展和改革委员会办公厅颁发的《关于招标代理服务收费有关问题的通知》（发改办价格『2003』857号）规定按标准收取，若按照标准收取不足6000元，按6000元计取。 3、成交单位的代理服务费交纳信息 银行户名：陕西中润国际招标有限公司 开户银行：中信银行西安雁塔西路支行 账 号：7251310182600086350 联 系 人：李帆 联系电话：029-87321229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新筑街道办事处</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新筑街道办事处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新筑街道办事处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水质是否达标、水体是否有垃圾漂浮、项目实施过程中是否发生环境风险，以及运行维护内容、进度管理、质量管理、质量保证措施均按相关要求实施等。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联系人：张经理 王经理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地址：西安市高新区唐延路旺座国际城A座12楼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主要服务内容包括负责现有的污水处理站、收水池及污水管网等农村生活污水处理设施的运维管理工作。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1,038,000.00</w:t>
      </w:r>
    </w:p>
    <w:p>
      <w:pPr>
        <w:pStyle w:val="null3"/>
      </w:pPr>
      <w:r>
        <w:rPr>
          <w:rFonts w:ascii="仿宋_GB2312" w:hAnsi="仿宋_GB2312" w:cs="仿宋_GB2312" w:eastAsia="仿宋_GB2312"/>
        </w:rPr>
        <w:t>采购包最高限价（元）: 1,038,000.00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新筑街道农村生活污水治理项目2025-2026运维服务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标的名称：新筑街道农村生活污水治理项目2025-2026运维服务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一、项目概况</w:t>
            </w:r>
          </w:p>
          <w:p>
            <w:pPr>
              <w:pStyle w:val="null3"/>
              <w:ind w:firstLine="480"/>
              <w:jc w:val="left"/>
            </w:pPr>
            <w:r>
              <w:rPr>
                <w:rFonts w:ascii="仿宋_GB2312" w:hAnsi="仿宋_GB2312" w:cs="仿宋_GB2312" w:eastAsia="仿宋_GB2312"/>
              </w:rPr>
              <w:t>新筑街道农村污水治理项目运维服务共涉及6座污水处理场站，污水管主管网28km，涝池6个。其中2座场站采用A</w:t>
            </w:r>
            <w:r>
              <w:rPr>
                <w:rFonts w:ascii="仿宋_GB2312" w:hAnsi="仿宋_GB2312" w:cs="仿宋_GB2312" w:eastAsia="仿宋_GB2312"/>
                <w:vertAlign w:val="superscript"/>
              </w:rPr>
              <w:t>2</w:t>
            </w:r>
            <w:r>
              <w:rPr>
                <w:rFonts w:ascii="仿宋_GB2312" w:hAnsi="仿宋_GB2312" w:cs="仿宋_GB2312" w:eastAsia="仿宋_GB2312"/>
              </w:rPr>
              <w:t>0工艺，剩余4座场站采用A</w:t>
            </w:r>
            <w:r>
              <w:rPr>
                <w:rFonts w:ascii="仿宋_GB2312" w:hAnsi="仿宋_GB2312" w:cs="仿宋_GB2312" w:eastAsia="仿宋_GB2312"/>
                <w:vertAlign w:val="superscript"/>
              </w:rPr>
              <w:t>2</w:t>
            </w:r>
            <w:r>
              <w:rPr>
                <w:rFonts w:ascii="仿宋_GB2312" w:hAnsi="仿宋_GB2312" w:cs="仿宋_GB2312" w:eastAsia="仿宋_GB2312"/>
              </w:rPr>
              <w:t>0+MBR反渗透膜的工艺。为做好农村污水场站和管道的日常维护，保证污水处理站出水和涝池水质达标等。</w:t>
            </w:r>
          </w:p>
          <w:p>
            <w:pPr>
              <w:pStyle w:val="null3"/>
              <w:jc w:val="left"/>
            </w:pPr>
            <w:r>
              <w:rPr>
                <w:rFonts w:ascii="仿宋_GB2312" w:hAnsi="仿宋_GB2312" w:cs="仿宋_GB2312" w:eastAsia="仿宋_GB2312"/>
                <w:b/>
              </w:rPr>
              <w:t>二、服务内容</w:t>
            </w:r>
          </w:p>
          <w:p>
            <w:pPr>
              <w:pStyle w:val="null3"/>
              <w:ind w:firstLine="480"/>
              <w:jc w:val="left"/>
            </w:pPr>
            <w:r>
              <w:rPr>
                <w:rFonts w:ascii="仿宋_GB2312" w:hAnsi="仿宋_GB2312" w:cs="仿宋_GB2312" w:eastAsia="仿宋_GB2312"/>
              </w:rPr>
              <w:t>1、负责对项目污水处理设施进行日常管理维护，确保污水处理站正常运行，定期对设备以及配套机械设备、电气设备及仪器仪表进行维修保养、MBR膜定期进行清洗，对达到使用年限的MBR膜、风机等设备进行更换，确保污水处理设施无堵塞、渗漏、开裂、破损，各处理场站及周边无杂物堆放，做到整洁美观。</w:t>
            </w:r>
          </w:p>
          <w:p>
            <w:pPr>
              <w:pStyle w:val="null3"/>
              <w:ind w:firstLine="480"/>
              <w:jc w:val="left"/>
            </w:pPr>
            <w:r>
              <w:rPr>
                <w:rFonts w:ascii="仿宋_GB2312" w:hAnsi="仿宋_GB2312" w:cs="仿宋_GB2312" w:eastAsia="仿宋_GB2312"/>
              </w:rPr>
              <w:t>2、负责委托第三方专业检测机构对各场站出水水质和涝池水质进行专业检测，要求达到陕西省《农村生活污水处理设施水污染物排放标准》。浐灞国际港生态环境局作为监督部门对各个场站水质进行监督性检测，其检测结果对于运维费结算考核具有决定性因素。</w:t>
            </w:r>
          </w:p>
          <w:p>
            <w:pPr>
              <w:pStyle w:val="null3"/>
              <w:ind w:firstLine="480"/>
              <w:jc w:val="left"/>
            </w:pPr>
            <w:r>
              <w:rPr>
                <w:rFonts w:ascii="仿宋_GB2312" w:hAnsi="仿宋_GB2312" w:cs="仿宋_GB2312" w:eastAsia="仿宋_GB2312"/>
              </w:rPr>
              <w:t>3、负责对污水处理收集管网、渠道安排专人定期进行巡查，对管网堵塞及时进行清掏维护，对井盖破损、缺失及时进行更新，确保生活污水收集管网规范运行。</w:t>
            </w:r>
          </w:p>
          <w:p>
            <w:pPr>
              <w:pStyle w:val="null3"/>
              <w:ind w:firstLine="480"/>
              <w:jc w:val="left"/>
            </w:pPr>
            <w:r>
              <w:rPr>
                <w:rFonts w:ascii="仿宋_GB2312" w:hAnsi="仿宋_GB2312" w:cs="仿宋_GB2312" w:eastAsia="仿宋_GB2312"/>
              </w:rPr>
              <w:t>4、负责及时向设施所在的供电单位缴纳运维产生的电费、水费等，电费一年约15万kw·h，相关费用以实际发生电费额（电费单或者缴费凭证）为准，不得出现因拖欠电费导致的设备运行间断，如出现问题，将依据问题情况扣减相关运维费用，造成违规排污的，浐灞国际港生态环境局依据国家环保相关规定进行处罚，相关责任和罚金均由运维方承担。</w:t>
            </w:r>
          </w:p>
          <w:p>
            <w:pPr>
              <w:pStyle w:val="null3"/>
              <w:ind w:firstLine="480"/>
              <w:jc w:val="left"/>
            </w:pPr>
            <w:r>
              <w:rPr>
                <w:rFonts w:ascii="仿宋_GB2312" w:hAnsi="仿宋_GB2312" w:cs="仿宋_GB2312" w:eastAsia="仿宋_GB2312"/>
              </w:rPr>
              <w:t>5、负责污水站产生的剩余污泥应及时处置，并应提出相应的处理方案，污泥的收集、处理、转运应符合国家相应的法律法规，不得在处理过程中造成二次污染。</w:t>
            </w:r>
          </w:p>
          <w:p>
            <w:pPr>
              <w:pStyle w:val="null3"/>
              <w:ind w:firstLine="480"/>
              <w:jc w:val="left"/>
            </w:pPr>
            <w:r>
              <w:rPr>
                <w:rFonts w:ascii="仿宋_GB2312" w:hAnsi="仿宋_GB2312" w:cs="仿宋_GB2312" w:eastAsia="仿宋_GB2312"/>
              </w:rPr>
              <w:t>6、负责建设涝池人工浮岛及水生植物的维护，曝气装置的运行和维保，定期检查涝池周围护栏情况，出现损坏及时维修。</w:t>
            </w:r>
          </w:p>
          <w:p>
            <w:pPr>
              <w:pStyle w:val="null3"/>
              <w:ind w:firstLine="480"/>
              <w:jc w:val="left"/>
            </w:pPr>
            <w:r>
              <w:rPr>
                <w:rFonts w:ascii="仿宋_GB2312" w:hAnsi="仿宋_GB2312" w:cs="仿宋_GB2312" w:eastAsia="仿宋_GB2312"/>
              </w:rPr>
              <w:t>7、负责建立应急处理预案，出现异常情况，计划性和突发性停电、连续暴雨引起的进水量异常、设备或管道损坏等情况时，保证系统的正常运转。</w:t>
            </w:r>
          </w:p>
          <w:p>
            <w:pPr>
              <w:pStyle w:val="null3"/>
              <w:ind w:firstLine="480"/>
              <w:jc w:val="left"/>
            </w:pPr>
            <w:r>
              <w:rPr>
                <w:rFonts w:ascii="仿宋_GB2312" w:hAnsi="仿宋_GB2312" w:cs="仿宋_GB2312" w:eastAsia="仿宋_GB2312"/>
              </w:rPr>
              <w:t>8、负责承担设施运行维护管理安全生产责任，严格按操作规程操作，加强对操作人员的安全教育，定期检查设施的运行维护及设备运转情况，及时纠正、排除安全隐患，保证运行维护安全、规范、优质、高效。做好涝池周边警示标语的悬挂和监控设施的安装，做好风险隐患排查避免出现造成人员伤亡事故。</w:t>
            </w:r>
          </w:p>
          <w:p>
            <w:pPr>
              <w:pStyle w:val="null3"/>
              <w:ind w:firstLine="480"/>
              <w:jc w:val="left"/>
            </w:pPr>
            <w:r>
              <w:rPr>
                <w:rFonts w:ascii="仿宋_GB2312" w:hAnsi="仿宋_GB2312" w:cs="仿宋_GB2312" w:eastAsia="仿宋_GB2312"/>
              </w:rPr>
              <w:t>9、建立运行管理台账，落实巡视、检查、检修、污泥处置、安全生产、进出水水质记录、药剂添加等相关制度，完善巡视记录表、设备检查记录表、药剂添加记录、交接班记录、出水量记录、设备运行记录等相关台账资料，每季度半年要有运营管理总结，每月定时上报街道。</w:t>
            </w:r>
          </w:p>
          <w:p>
            <w:pPr>
              <w:pStyle w:val="null3"/>
              <w:jc w:val="left"/>
            </w:pPr>
            <w:r>
              <w:rPr>
                <w:rFonts w:ascii="仿宋_GB2312" w:hAnsi="仿宋_GB2312" w:cs="仿宋_GB2312" w:eastAsia="仿宋_GB2312"/>
                <w:b/>
              </w:rPr>
              <w:t>三、技术要求</w:t>
            </w:r>
          </w:p>
          <w:p>
            <w:pPr>
              <w:pStyle w:val="null3"/>
              <w:ind w:firstLine="480"/>
              <w:jc w:val="left"/>
            </w:pPr>
            <w:r>
              <w:rPr>
                <w:rFonts w:ascii="仿宋_GB2312" w:hAnsi="仿宋_GB2312" w:cs="仿宋_GB2312" w:eastAsia="仿宋_GB2312"/>
              </w:rPr>
              <w:t>具有相应运营污水处理站的资质和专业能力。</w:t>
            </w:r>
          </w:p>
          <w:p>
            <w:pPr>
              <w:pStyle w:val="null3"/>
              <w:jc w:val="left"/>
            </w:pPr>
            <w:r>
              <w:rPr>
                <w:rFonts w:ascii="仿宋_GB2312" w:hAnsi="仿宋_GB2312" w:cs="仿宋_GB2312" w:eastAsia="仿宋_GB2312"/>
                <w:b/>
              </w:rPr>
              <w:t>四、服务要求</w:t>
            </w:r>
          </w:p>
          <w:p>
            <w:pPr>
              <w:pStyle w:val="null3"/>
              <w:ind w:firstLine="480"/>
              <w:jc w:val="left"/>
            </w:pPr>
            <w:r>
              <w:rPr>
                <w:rFonts w:ascii="仿宋_GB2312" w:hAnsi="仿宋_GB2312" w:cs="仿宋_GB2312" w:eastAsia="仿宋_GB2312"/>
              </w:rPr>
              <w:t>合理安排项目负责人驻场，遇到突发事件，能够立即赶赴现场处置，配合做好汛期防汛应急工作。</w:t>
            </w:r>
          </w:p>
          <w:p>
            <w:pPr>
              <w:pStyle w:val="null3"/>
              <w:jc w:val="left"/>
            </w:pPr>
            <w:r>
              <w:rPr>
                <w:rFonts w:ascii="仿宋_GB2312" w:hAnsi="仿宋_GB2312" w:cs="仿宋_GB2312" w:eastAsia="仿宋_GB2312"/>
                <w:b/>
              </w:rPr>
              <w:t>五、服务期限</w:t>
            </w:r>
          </w:p>
          <w:p>
            <w:pPr>
              <w:pStyle w:val="null3"/>
              <w:ind w:firstLine="480"/>
              <w:jc w:val="left"/>
            </w:pPr>
            <w:r>
              <w:rPr>
                <w:rFonts w:ascii="仿宋_GB2312" w:hAnsi="仿宋_GB2312" w:cs="仿宋_GB2312" w:eastAsia="仿宋_GB2312"/>
              </w:rPr>
              <w:t>自合同签订之日起1年。</w:t>
            </w:r>
          </w:p>
          <w:p>
            <w:pPr>
              <w:pStyle w:val="null3"/>
              <w:jc w:val="left"/>
            </w:pPr>
            <w:r>
              <w:rPr>
                <w:rFonts w:ascii="仿宋_GB2312" w:hAnsi="仿宋_GB2312" w:cs="仿宋_GB2312" w:eastAsia="仿宋_GB2312"/>
                <w:b/>
              </w:rPr>
              <w:t>六、</w:t>
            </w:r>
            <w:r>
              <w:rPr>
                <w:rFonts w:ascii="仿宋_GB2312" w:hAnsi="仿宋_GB2312" w:cs="仿宋_GB2312" w:eastAsia="仿宋_GB2312"/>
                <w:b/>
              </w:rPr>
              <w:t>质量验收标准或规范</w:t>
            </w:r>
          </w:p>
          <w:p>
            <w:pPr>
              <w:pStyle w:val="null3"/>
              <w:jc w:val="both"/>
            </w:pPr>
            <w:r>
              <w:rPr>
                <w:rFonts w:ascii="仿宋_GB2312" w:hAnsi="仿宋_GB2312" w:cs="仿宋_GB2312" w:eastAsia="仿宋_GB2312"/>
              </w:rPr>
              <w:t xml:space="preserve">  水质是否达标、水体是否有垃圾漂浮、项目实施过程中是否发生环境风险，以及运行维护内容、进度管理、质量管理、质量保证措施均按相关要求实施等。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新筑街道于新村、李潘村、南陈村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第一次付款为合同签订后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第二次付款为运维6个月后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第三次付款为运维期满运维工作结束后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成交供应商在领取成交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 王经理，029-88825655。 3.4.2本项目专门面向中小企业。项目所属行业：其他未列明行业；从业人员300人以下的为中小微型企业。其中，从业人员100人及以上的为中型企业;从业人员10人及以上的为小型企业;从业人员10人以下的为微型企业。 3.4.3落实政府采购政策：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 ③、《财政部 农业农村部 国家乡村振兴局关于运用政府采购政策支持乡村产业振兴的通知》（财库〔2021〕19 号）、《财政部农业农村部国家乡村振兴局 中华全国供销合作总社关于印发&lt;关于深入开展政府采购脱贫地区农副产品工作推进乡村产业振兴的实施意见&gt;的通知》（财库〔2021〕20 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财政部、国家发改委、生态环境部、市场监管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关于进一步加强政府绿色采购有关问题的通知》（陕财办采〔2021〕29号）、《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1、提供合法有效的统一社会信用代码营业执照（事业单位提供事业单位法人证书，自然人应提供身份证）； 2、提供供应商2024年1月至今任意一个月已缴纳的完税凭证或税务机关开具的完税证明（任意税种）；依法免税的应提供相关文件证明； 3、提供供应商2024年1月至今任意一个月已缴纳的社会保障资金缴存单据或社保机构开具的社会保险参保缴费情况证明；依法不需要缴纳社会保障资金的应提供相关文件证明；4、提供具有履行合同所必需的设备和专业技术能力的承诺函； 5、提供参加本次政府采购活动前三年内在经营活动中没有重大违法记录的书面声明。供应商需在项目电子化交易系统中按要求填写《投标函》完成承诺并进行电子签章。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2、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法定代表人(负责人）授权委托书/法定代表人(负责人）身份证明</w:t>
            </w:r>
          </w:p>
        </w:tc>
        <w:tc>
          <w:tcPr>
            <w:tcW w:type="dxa" w:w="3322"/>
          </w:tcPr>
          <w:p>
            <w:pPr>
              <w:pStyle w:val="null3"/>
            </w:pPr>
            <w:r>
              <w:rPr>
                <w:rFonts w:ascii="仿宋_GB2312" w:hAnsi="仿宋_GB2312" w:cs="仿宋_GB2312" w:eastAsia="仿宋_GB2312"/>
              </w:rPr>
              <w:t>法定代表人参加竞争性磋商的，须出示身份证；法定代表人授权他人参加竞争性磋商的，须提供法定代表人授权委托书及被授权人身份证；</w:t>
            </w:r>
          </w:p>
        </w:tc>
        <w:tc>
          <w:tcPr>
            <w:tcW w:type="dxa" w:w="1661"/>
          </w:tcPr>
          <w:p>
            <w:pPr>
              <w:pStyle w:val="null3"/>
            </w:pPr>
            <w:r>
              <w:rPr>
                <w:rFonts w:ascii="仿宋_GB2312" w:hAnsi="仿宋_GB2312" w:cs="仿宋_GB2312" w:eastAsia="仿宋_GB2312"/>
              </w:rPr>
              <w:t>资格.docx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本项目不接受联合体竞争性磋商。</w:t>
            </w:r>
          </w:p>
        </w:tc>
        <w:tc>
          <w:tcPr>
            <w:tcW w:type="dxa" w:w="1661"/>
          </w:tcPr>
          <w:p>
            <w:pPr>
              <w:pStyle w:val="null3"/>
            </w:pPr>
            <w:r>
              <w:rPr>
                <w:rFonts w:ascii="仿宋_GB2312" w:hAnsi="仿宋_GB2312" w:cs="仿宋_GB2312" w:eastAsia="仿宋_GB2312"/>
              </w:rPr>
              <w:t>资格.docx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首次磋商报价表.docx 报价表 响应文件封面 政府采购供应商拒绝政府采购领域商业贿赂承诺书.docx 资格.docx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按磋商文件格式要求加盖了供应商公章和有法定代表人（或单位负责人）或其授权代表签字或加盖人名章</w:t>
            </w:r>
          </w:p>
        </w:tc>
        <w:tc>
          <w:tcPr>
            <w:tcW w:type="dxa" w:w="1661"/>
          </w:tcPr>
          <w:p>
            <w:pPr>
              <w:pStyle w:val="null3"/>
            </w:pPr>
            <w:r>
              <w:rPr>
                <w:rFonts w:ascii="仿宋_GB2312" w:hAnsi="仿宋_GB2312" w:cs="仿宋_GB2312" w:eastAsia="仿宋_GB2312"/>
              </w:rPr>
              <w:t>服务内容及服务邀请应答表 中小企业声明函 商务应答表 首次磋商报价表.docx 报价表 响应文件封面 政府采购供应商拒绝政府采购领域商业贿赂承诺书.docx 资格.docx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供应商报价是固定价且未超过预算金额（磋商文件有最高限价（最高含税完全综合单价)的，报价未超过最高限价(最高含税完全综合单价)）</w:t>
            </w:r>
          </w:p>
        </w:tc>
        <w:tc>
          <w:tcPr>
            <w:tcW w:type="dxa" w:w="1661"/>
          </w:tcPr>
          <w:p>
            <w:pPr>
              <w:pStyle w:val="null3"/>
            </w:pPr>
            <w:r>
              <w:rPr>
                <w:rFonts w:ascii="仿宋_GB2312" w:hAnsi="仿宋_GB2312" w:cs="仿宋_GB2312" w:eastAsia="仿宋_GB2312"/>
              </w:rPr>
              <w:t>首次磋商报价表.docx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首次磋商报价表.docx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供应商提供的响应文件内容无实质性遗漏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 首次磋商报价表.docx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依据供应商提供的本项目的服务方案评审，内容包含： 1.污水处理站运维管理方案（3分）：内容完整、可实施、且有针对性得3分；内容完整、可实施得2分；方案基本完整得1分；未提供不得分。 2.污水管网运维管理方案（3分）：内容完整、可实施、且有针对性得3分；内容完整、可实施得2分；方案基本完整得1分；未提供不得分。 3.运维管理制度（3分）：内容完整、可实施、且有针对性得3分；内容完整、可实施得2分；方案基本完整得1分；未提供不得分。 4.报表制度（3分）：内容完整、可实施、且有针对性得3分；内容完整、可实施得2分；方案基本完整得1分；未提供不得分。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服务模式</w:t>
            </w:r>
          </w:p>
        </w:tc>
        <w:tc>
          <w:tcPr>
            <w:tcW w:type="dxa" w:w="2492"/>
          </w:tcPr>
          <w:p>
            <w:pPr>
              <w:pStyle w:val="null3"/>
            </w:pPr>
            <w:r>
              <w:rPr>
                <w:rFonts w:ascii="仿宋_GB2312" w:hAnsi="仿宋_GB2312" w:cs="仿宋_GB2312" w:eastAsia="仿宋_GB2312"/>
              </w:rPr>
              <w:t>运维服务模式科学合理。 采用物联网技术辅助运维得3分，未采用物联网技术辅助不得分。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安全管理措施</w:t>
            </w:r>
          </w:p>
        </w:tc>
        <w:tc>
          <w:tcPr>
            <w:tcW w:type="dxa" w:w="2492"/>
          </w:tcPr>
          <w:p>
            <w:pPr>
              <w:pStyle w:val="null3"/>
            </w:pPr>
            <w:r>
              <w:rPr>
                <w:rFonts w:ascii="仿宋_GB2312" w:hAnsi="仿宋_GB2312" w:cs="仿宋_GB2312" w:eastAsia="仿宋_GB2312"/>
              </w:rPr>
              <w:t>依据供应商提供的本项目的安全管理措施评审，内容包含： 1.安全管理措施（3分）：内容完整、可实施、且有针对性得3分；内容完整、可实施得2分；方案基本完整得1分；未提供不得分。 2.污泥处理安全措施（3分）：内容完整、可实施、且有针对性得3分；内容完整、可实施得2分；方案基本完整得1分；未提供不得分。 3.机修安全措施（3分）：内容完整、可实施、且有针对性得3分；内容完整、可实施得2分；方案基本完整得1分；未提供不得分。 4.用电安全措施（3分）：内容完整、可实施、且有针对性得3分；内容完整、可实施得2分；方案基本完整得1分；未提供不得分。 5.防溺水安全措施（3分）：内容完整、可实施、且有针对性得3分；内容完整、可实施得2分；方案基本完整得1分；未提供不得分。 6.防毒气安全措施（3分）：内容完整、可实施、且有针对性得3分；内容完整、可实施得2分；方案基本完整得1分；未提供不得分。 7.消防安全措施（3分）：内容完整、可实施、且有针对性得3分；内容完整、可实施得2分；方案基本完整得1分；未提供不得分。 8.劳动保护措施（3分）：内容完整、可实施、且有针对性得3分；内容完整、可实施得2分；方案基本完整得1分；未提供不得分。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依据供应商提供的本项目的环境保护措施评审，内容包含： 1.臭气（1.5分）：内容完整、可实施、且有针对性得1.5分；内容完整、可实施得1分；方案基本完整得0.5分；未提供不得分。 2.污水（1.5分）：内容完整、可实施、且有针对性得1.5分；内容完整、可实施得1分；方案基本完整得0.5分；未提供不得分。 3.固废（1.5分）：内容完整、可实施、且有针对性得1.5分；内容完整、可实施得1分；方案基本完整得0.5分；未提供不得分。 4.噪声（1.5分）：内容完整、可实施、且有针对性得1.5分；内容完整、可实施得1分；方案基本完整得0.5分；未提供不得分。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服务团队①</w:t>
            </w:r>
          </w:p>
        </w:tc>
        <w:tc>
          <w:tcPr>
            <w:tcW w:type="dxa" w:w="2492"/>
          </w:tcPr>
          <w:p>
            <w:pPr>
              <w:pStyle w:val="null3"/>
            </w:pPr>
            <w:r>
              <w:rPr>
                <w:rFonts w:ascii="仿宋_GB2312" w:hAnsi="仿宋_GB2312" w:cs="仿宋_GB2312" w:eastAsia="仿宋_GB2312"/>
              </w:rPr>
              <w:t>1.项目负责人：具备给排水或环境工程相关专业中级及以上职称得4分；具备其他工程类专业中级及以上职称得2分。其他不得分。 提供加盖供应商公章的证书复印件。 2.投入人员构成数量。项目组成人员≥6人得3分；6人以下不得分；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服务团队②</w:t>
            </w:r>
          </w:p>
        </w:tc>
        <w:tc>
          <w:tcPr>
            <w:tcW w:type="dxa" w:w="2492"/>
          </w:tcPr>
          <w:p>
            <w:pPr>
              <w:pStyle w:val="null3"/>
            </w:pPr>
            <w:r>
              <w:rPr>
                <w:rFonts w:ascii="仿宋_GB2312" w:hAnsi="仿宋_GB2312" w:cs="仿宋_GB2312" w:eastAsia="仿宋_GB2312"/>
              </w:rPr>
              <w:t>依据供应商提供的本项目的人员专业程度、工作经验评审，内容包含： 1.投入人员专业程度（3分）：内容完整、可实施、且有针对性得3分；内容完整、可实施得2分；方案基本完整得1分；未提供不得分。 2.工作经验（3分）：内容完整、可实施、且有针对性得3分；内容完整、可实施得2分；方案基本完整得1分；未提供不得分。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依据供应商提供的本项目的应急方案评审，内容包含： 1.水量水质变化（1.5分）：内容完整、可实施、且有针对性得1.5分；内容完整、可实施得1分；方案基本完整得0.5分；未提供不得分。 2.停水停电（1.5分）：内容完整、可实施、且有针对性得1.5分；内容完整、可实施得1分；方案基本完整得0.5分；未提供不得分。 3.设备故障（1.5分）：内容完整、可实施、且有针对性得1.5分；内容完整、可实施得1分；方案基本完整得0.5分；未提供不得分。 4.极端天气（1.5分）：内容完整、可实施、且有针对性得1.5分；内容完整、可实施得1分；方案基本完整得0.5分；未提供不得分。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依据供应商提供的本项目的重点难点分析评审： 1.重点难点分析（3分）：内容完整、可实施、且有针对性得3分；内容完整、可实施得2分；方案基本完整得1分；未提供不得分。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管理能力</w:t>
            </w:r>
          </w:p>
        </w:tc>
        <w:tc>
          <w:tcPr>
            <w:tcW w:type="dxa" w:w="2492"/>
          </w:tcPr>
          <w:p>
            <w:pPr>
              <w:pStyle w:val="null3"/>
            </w:pPr>
            <w:r>
              <w:rPr>
                <w:rFonts w:ascii="仿宋_GB2312" w:hAnsi="仿宋_GB2312" w:cs="仿宋_GB2312" w:eastAsia="仿宋_GB2312"/>
              </w:rPr>
              <w:t>认证证书是企业管理能力的重要体现。具备有效期内的企业管理体系认证证书复印件及查询网址截图①环境管理体系认证证书②职业健康安全管理体系认证证书③质量管理体系认证证书，每具备1项得1分，满分3分。提供加盖供应商公章的证书复印件及截图。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提供2023年1月1日（以合同签订时间为准）以来项目业绩合同。业绩内容为农村生活污水运维的每提供1个得2分；业绩内容为其他污水运维的每提供1个得1分。提供加盖供应商公章的完整合同复印件。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满足磋商文件实质性要求且最终报价最低的供应商的价格为磋商基准价，其价格分为满分20分。磋商报价得分=（磋商基准价/最终磋商报价）×20的公式计算得分。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首次磋商报价表.docx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