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版本号：ZKBHDL-SXA-25029（CGZC2025-146）20250730001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金融商务区污水提升泵站运行管理服务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ZKBHDL-SXA-25029（CGZC2025-146）</w:t>
      </w:r>
      <w:r>
        <w:br/>
      </w:r>
      <w:r>
        <w:br/>
      </w:r>
      <w:r>
        <w:br/>
      </w:r>
    </w:p>
    <w:p>
      <w:pPr>
        <w:pStyle w:val="null3"/>
        <w:jc w:val="center"/>
        <w:outlineLvl w:val="5"/>
      </w:pPr>
      <w:r>
        <w:rPr>
          <w:rFonts w:ascii="仿宋_GB2312" w:hAnsi="仿宋_GB2312" w:cs="仿宋_GB2312" w:eastAsia="仿宋_GB2312"/>
          <w:sz w:val="15"/>
          <w:b/>
        </w:rPr>
        <w:t>西安浐灞国际港生态环境局</w:t>
      </w:r>
    </w:p>
    <w:p>
      <w:pPr>
        <w:pStyle w:val="null3"/>
        <w:jc w:val="center"/>
        <w:outlineLvl w:val="5"/>
      </w:pPr>
      <w:r>
        <w:rPr>
          <w:rFonts w:ascii="仿宋_GB2312" w:hAnsi="仿宋_GB2312" w:cs="仿宋_GB2312" w:eastAsia="仿宋_GB2312"/>
          <w:sz w:val="15"/>
          <w:b/>
        </w:rPr>
        <w:t>中科标禾工程项目管理有限公司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中科标禾工程项目管理有限公司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西安浐灞国际港生态环境局</w:t>
      </w:r>
      <w:r>
        <w:rPr>
          <w:rFonts w:ascii="仿宋_GB2312" w:hAnsi="仿宋_GB2312" w:cs="仿宋_GB2312" w:eastAsia="仿宋_GB2312"/>
        </w:rPr>
        <w:t>委托，拟对</w:t>
      </w:r>
      <w:r>
        <w:rPr>
          <w:rFonts w:ascii="仿宋_GB2312" w:hAnsi="仿宋_GB2312" w:cs="仿宋_GB2312" w:eastAsia="仿宋_GB2312"/>
        </w:rPr>
        <w:t>金融商务区污水提升泵站运行管理服务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ZKBHDL-SXA-25029（CGZC2025-146）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金融商务区污水提升泵站运行管理服务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金融商务区污水提升泵站运行管理服务项目是由西安浐灞国际港管理委员会委托开展，为了切实解决金融商务区污水收集处置问题，全力保障浐灞国际港居民和企事业单位正常生活办公。</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1、具有独立承担民事责任能力的能力：具有独立承担民事责任能力的法人、其他组织或自然人，并出具合法有效的营业执照或事业单位法人证书等国家规定的相关证明，自然人参与的提供其身份证明书；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3、财务状况报告（任选其一）：2024年度经审计的财务会计报告（至少包括审计报告、资产负债表和利润表，成立时间至提交投标文件截止时间不足一年的可提供成立后任意时段的资产负债表）；提交投标文件截止时间三个月内其基本账户开户银行出具的资信证明（附基本存款账户信息</w:t>
      </w:r>
    </w:p>
    <w:p>
      <w:pPr>
        <w:pStyle w:val="null3"/>
      </w:pPr>
      <w:r>
        <w:rPr>
          <w:rFonts w:ascii="仿宋_GB2312" w:hAnsi="仿宋_GB2312" w:cs="仿宋_GB2312" w:eastAsia="仿宋_GB2312"/>
        </w:rPr>
        <w:t>4、社保资金缴纳证明：提交投标文件截止时间前6个月内至少一个月的社会保障资金缴存单据或社保机构开具的社会保险参保缴费情况证明，单据或证明上应有社保机构或代收机构的公章或业务专用章</w:t>
      </w:r>
    </w:p>
    <w:p>
      <w:pPr>
        <w:pStyle w:val="null3"/>
      </w:pPr>
      <w:r>
        <w:rPr>
          <w:rFonts w:ascii="仿宋_GB2312" w:hAnsi="仿宋_GB2312" w:cs="仿宋_GB2312" w:eastAsia="仿宋_GB2312"/>
        </w:rPr>
        <w:t>5、税收缴纳证明：提交投标文件截止时间前6个月内至少一个月的纳税证明或完税证明（增值税、企业所得税至少提供一种），纳税证明或完税证明上应有代收机构或税务机关的公章或业务专用章</w:t>
      </w:r>
    </w:p>
    <w:p>
      <w:pPr>
        <w:pStyle w:val="null3"/>
      </w:pPr>
      <w:r>
        <w:rPr>
          <w:rFonts w:ascii="仿宋_GB2312" w:hAnsi="仿宋_GB2312" w:cs="仿宋_GB2312" w:eastAsia="仿宋_GB2312"/>
        </w:rPr>
        <w:t>6、具备履行合同所必需的设备、专业技术能力：供应商具备履行合同所必需的设备、专业技术能力</w:t>
      </w:r>
    </w:p>
    <w:p>
      <w:pPr>
        <w:pStyle w:val="null3"/>
      </w:pPr>
      <w:r>
        <w:rPr>
          <w:rFonts w:ascii="仿宋_GB2312" w:hAnsi="仿宋_GB2312" w:cs="仿宋_GB2312" w:eastAsia="仿宋_GB2312"/>
        </w:rPr>
        <w:t>7、无重大违法记录的书面声明：供应商出具参加政府采购活动前3年内在经营活动中没有重大违法记录的书面声明</w:t>
      </w:r>
    </w:p>
    <w:p>
      <w:pPr>
        <w:pStyle w:val="null3"/>
      </w:pPr>
      <w:r>
        <w:rPr>
          <w:rFonts w:ascii="仿宋_GB2312" w:hAnsi="仿宋_GB2312" w:cs="仿宋_GB2312" w:eastAsia="仿宋_GB2312"/>
        </w:rPr>
        <w:t>8、未被列入政府采购严重违法失信行为记录名单：供应商在信用中国（www.creditchina.gov.cn）未被列入重大税收违法失信主体、在中国执行信息公开网（http://zxgk.court.gov.cn/）未被列入失信被执行人及在中国政府采购网（www.ccgp.gov.cn）未被列入政府采购严重违法失信行为记录名单。</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西安浐灞国际港生态环境局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宁伟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15691717120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中科标禾工程项目管理有限公司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陕西省西安市雁塔区莱安中心T7栋10层 1005室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云工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18149499527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029-83595939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采购包1：1,340,600.00元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采购包1：1,340,600.00元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代理服务费收费标准：按照国家计委颁布的《招标代理服务收费管理暂行办法》（计价格『2002』1980号）及发改办价格『2003』857号文规定按服务类收取代理服务费。 招标代理服务费缴纳账户： 名称：中科标禾工程项目管理有限公司陕西分公司 开户行：民生银行西安分行营业部 账号：699806042 转账事由：xx项目代理服务费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西安浐灞国际港生态环境局</w:t>
      </w:r>
      <w:r>
        <w:rPr>
          <w:rFonts w:ascii="仿宋_GB2312" w:hAnsi="仿宋_GB2312" w:cs="仿宋_GB2312" w:eastAsia="仿宋_GB2312"/>
        </w:rPr>
        <w:t>和</w:t>
      </w:r>
      <w:r>
        <w:rPr>
          <w:rFonts w:ascii="仿宋_GB2312" w:hAnsi="仿宋_GB2312" w:cs="仿宋_GB2312" w:eastAsia="仿宋_GB2312"/>
        </w:rPr>
        <w:t>中科标禾工程项目管理有限公司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中科标禾工程项目管理有限公司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西安浐灞国际港生态环境局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中科标禾工程项目管理有限公司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中科标禾工程项目管理有限公司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中科标禾工程项目管理有限公司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中科标禾工程项目管理有限公司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金融商务区污水提升泵站运行管理服务项目是由西安浐灞国际港管理委员会委托开展，为了切实解决金融商务区污水收集处置问题，全力保障浐灞国际港居民和企事业单位正常生活办公。</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1,340,600.00</w:t>
      </w:r>
    </w:p>
    <w:p>
      <w:pPr>
        <w:pStyle w:val="null3"/>
      </w:pPr>
      <w:r>
        <w:rPr>
          <w:rFonts w:ascii="仿宋_GB2312" w:hAnsi="仿宋_GB2312" w:cs="仿宋_GB2312" w:eastAsia="仿宋_GB2312"/>
        </w:rPr>
        <w:t>采购包最高限价（元）: 1,340,600.00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详见招标文件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1,340,600.00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标的名称：详见招标文件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pPr>
            <w:r>
              <w:rPr>
                <w:rFonts w:ascii="仿宋_GB2312" w:hAnsi="仿宋_GB2312" w:cs="仿宋_GB2312" w:eastAsia="仿宋_GB2312"/>
                <w:sz w:val="21"/>
              </w:rPr>
              <w:t>一、项目概况</w:t>
            </w:r>
          </w:p>
          <w:p>
            <w:pPr>
              <w:pStyle w:val="null3"/>
              <w:spacing w:after="120"/>
            </w:pPr>
            <w:r>
              <w:rPr>
                <w:rFonts w:ascii="仿宋_GB2312" w:hAnsi="仿宋_GB2312" w:cs="仿宋_GB2312" w:eastAsia="仿宋_GB2312"/>
              </w:rPr>
              <w:t>金融商务区污水提升泵站运行管理服务项目是由西安浐灞国际港管理委员会委托开展，为了切实解决金融商务区污水收集处置问题，全力保障浐灞国际港居民和企事业单位正常生活办公。</w:t>
            </w:r>
          </w:p>
          <w:p>
            <w:pPr>
              <w:pStyle w:val="null3"/>
              <w:spacing w:after="120"/>
            </w:pPr>
            <w:r>
              <w:rPr>
                <w:rFonts w:ascii="仿宋_GB2312" w:hAnsi="仿宋_GB2312" w:cs="仿宋_GB2312" w:eastAsia="仿宋_GB2312"/>
                <w:sz w:val="21"/>
              </w:rPr>
              <w:t>二、服务内容</w:t>
            </w:r>
          </w:p>
          <w:p>
            <w:pPr>
              <w:pStyle w:val="null3"/>
              <w:spacing w:after="120"/>
            </w:pPr>
            <w:r>
              <w:rPr>
                <w:rFonts w:ascii="仿宋_GB2312" w:hAnsi="仿宋_GB2312" w:cs="仿宋_GB2312" w:eastAsia="仿宋_GB2312"/>
                <w:sz w:val="21"/>
              </w:rPr>
              <w:t>负责金融商务区提升泵站运行、各类设备管理和维护</w:t>
            </w:r>
            <w:r>
              <w:rPr>
                <w:rFonts w:ascii="仿宋_GB2312" w:hAnsi="仿宋_GB2312" w:cs="仿宋_GB2312" w:eastAsia="仿宋_GB2312"/>
                <w:sz w:val="21"/>
              </w:rPr>
              <w:t>、</w:t>
            </w:r>
            <w:r>
              <w:rPr>
                <w:rFonts w:ascii="仿宋_GB2312" w:hAnsi="仿宋_GB2312" w:cs="仿宋_GB2312" w:eastAsia="仿宋_GB2312"/>
                <w:sz w:val="21"/>
              </w:rPr>
              <w:t>维修，确保泵站正常运行。</w:t>
            </w:r>
          </w:p>
          <w:p>
            <w:pPr>
              <w:pStyle w:val="null3"/>
              <w:spacing w:after="120"/>
            </w:pPr>
            <w:r>
              <w:rPr>
                <w:rFonts w:ascii="仿宋_GB2312" w:hAnsi="仿宋_GB2312" w:cs="仿宋_GB2312" w:eastAsia="仿宋_GB2312"/>
                <w:sz w:val="21"/>
              </w:rPr>
              <w:t>三、技术要求</w:t>
            </w:r>
          </w:p>
          <w:p>
            <w:pPr>
              <w:pStyle w:val="null3"/>
              <w:spacing w:after="120"/>
            </w:pPr>
            <w:r>
              <w:rPr>
                <w:rFonts w:ascii="仿宋_GB2312" w:hAnsi="仿宋_GB2312" w:cs="仿宋_GB2312" w:eastAsia="仿宋_GB2312"/>
                <w:sz w:val="21"/>
              </w:rPr>
              <w:t>1、负责提升泵站设备管理和维护保养工作，保障泵站稳定运行，确保金融商务区内生活污水正常收集处理;</w:t>
            </w:r>
          </w:p>
          <w:p>
            <w:pPr>
              <w:pStyle w:val="null3"/>
              <w:spacing w:after="120"/>
            </w:pPr>
            <w:r>
              <w:rPr>
                <w:rFonts w:ascii="仿宋_GB2312" w:hAnsi="仿宋_GB2312" w:cs="仿宋_GB2312" w:eastAsia="仿宋_GB2312"/>
                <w:sz w:val="21"/>
              </w:rPr>
              <w:t>2、负责做好相应的管护工作;</w:t>
            </w:r>
          </w:p>
          <w:p>
            <w:pPr>
              <w:pStyle w:val="null3"/>
              <w:spacing w:after="120"/>
            </w:pPr>
            <w:r>
              <w:rPr>
                <w:rFonts w:ascii="仿宋_GB2312" w:hAnsi="仿宋_GB2312" w:cs="仿宋_GB2312" w:eastAsia="仿宋_GB2312"/>
                <w:sz w:val="21"/>
              </w:rPr>
              <w:t>3、相关技术人员必须持证上岗，严禁无证上岗。在日常管护，运行中严格落实各项安全措施，一旦发生安全事故。</w:t>
            </w:r>
          </w:p>
          <w:p>
            <w:pPr>
              <w:pStyle w:val="null3"/>
              <w:spacing w:after="120"/>
            </w:pPr>
            <w:r>
              <w:rPr>
                <w:rFonts w:ascii="仿宋_GB2312" w:hAnsi="仿宋_GB2312" w:cs="仿宋_GB2312" w:eastAsia="仿宋_GB2312"/>
                <w:sz w:val="21"/>
              </w:rPr>
              <w:t>四、服务要求</w:t>
            </w:r>
          </w:p>
          <w:p>
            <w:pPr>
              <w:pStyle w:val="null3"/>
            </w:pPr>
            <w:r>
              <w:rPr>
                <w:rFonts w:ascii="仿宋_GB2312" w:hAnsi="仿宋_GB2312" w:cs="仿宋_GB2312" w:eastAsia="仿宋_GB2312"/>
                <w:sz w:val="21"/>
              </w:rPr>
              <w:t>1、按照项目目标，制定实施计划，成立专门的技术管理团队负责日常运行维护，定期向管委会汇报阶段性工作情况;</w:t>
            </w:r>
          </w:p>
          <w:p>
            <w:pPr>
              <w:pStyle w:val="null3"/>
            </w:pPr>
            <w:r>
              <w:rPr>
                <w:rFonts w:ascii="仿宋_GB2312" w:hAnsi="仿宋_GB2312" w:cs="仿宋_GB2312" w:eastAsia="仿宋_GB2312"/>
                <w:sz w:val="21"/>
              </w:rPr>
              <w:t>2、确保污水提升泵站的提升泵、粗格栅机、螺旋输送机等设备保存完好并维护运行正常;</w:t>
            </w:r>
          </w:p>
          <w:p>
            <w:pPr>
              <w:pStyle w:val="null3"/>
              <w:jc w:val="both"/>
            </w:pPr>
            <w:r>
              <w:rPr>
                <w:rFonts w:ascii="仿宋_GB2312" w:hAnsi="仿宋_GB2312" w:cs="仿宋_GB2312" w:eastAsia="仿宋_GB2312"/>
                <w:sz w:val="21"/>
              </w:rPr>
              <w:t>3、未经管委会同意，不得将该项目转包或分包给其他第三方进行。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合同服务期满</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财务状况报告（任选其一）</w:t>
            </w:r>
          </w:p>
        </w:tc>
        <w:tc>
          <w:tcPr>
            <w:tcW w:type="dxa" w:w="3322"/>
          </w:tcPr>
          <w:p>
            <w:pPr>
              <w:pStyle w:val="null3"/>
            </w:pPr>
            <w:r>
              <w:rPr>
                <w:rFonts w:ascii="仿宋_GB2312" w:hAnsi="仿宋_GB2312" w:cs="仿宋_GB2312" w:eastAsia="仿宋_GB2312"/>
              </w:rPr>
              <w:t>2024年度经审计的财务会计报告（至少包括审计报告、资产负债表和利润表，成立时间至提交投标文件截止时间不足一年的可提供成立后任意时段的资产负债表）；提交投标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提交投标文件截止时间前6个月内至少一个月的社会保障资金缴存单据或社保机构开具的社会保险参保缴费情况证明，单据或证明上应有社保机构或代收机构的公章或业务专用章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提交投标文件截止时间前6个月内至少一个月的纳税证明或完税证明（增值税、企业所得税至少提供一种），纳税证明或完税证明上应有代收机构或税务机关的公章或业务专用章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具备履行合同所必需的设备、专业技术能力</w:t>
            </w:r>
          </w:p>
        </w:tc>
        <w:tc>
          <w:tcPr>
            <w:tcW w:type="dxa" w:w="3322"/>
          </w:tcPr>
          <w:p>
            <w:pPr>
              <w:pStyle w:val="null3"/>
            </w:pPr>
            <w:r>
              <w:rPr>
                <w:rFonts w:ascii="仿宋_GB2312" w:hAnsi="仿宋_GB2312" w:cs="仿宋_GB2312" w:eastAsia="仿宋_GB2312"/>
              </w:rPr>
              <w:t>供应商具备履行合同所必需的设备、专业技术能力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未被列入政府采购严重违法失信行为记录名单</w:t>
            </w:r>
          </w:p>
        </w:tc>
        <w:tc>
          <w:tcPr>
            <w:tcW w:type="dxa" w:w="3322"/>
          </w:tcPr>
          <w:p>
            <w:pPr>
              <w:pStyle w:val="null3"/>
            </w:pPr>
            <w:r>
              <w:rPr>
                <w:rFonts w:ascii="仿宋_GB2312" w:hAnsi="仿宋_GB2312" w:cs="仿宋_GB2312" w:eastAsia="仿宋_GB2312"/>
              </w:rPr>
              <w:t>供应商在信用中国（www.creditchina.gov.cn）未被列入重大税收违法失信主体、在中国执行信息公开网（http://zxgk.court.gov.cn/）未被列入失信被执行人及在中国政府采购网（www.ccgp.gov.cn）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详见附件：生态局合同.docx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