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版本号：CGZC-2025-097、XBZB-2025-07620250814001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新筑街道纺渭路（高寨村段）污水管网改造工程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CGZC-2025-097、XBZB-2025-076</w:t>
      </w:r>
      <w:r>
        <w:br/>
      </w:r>
      <w:r>
        <w:br/>
      </w:r>
      <w:r>
        <w:br/>
      </w:r>
    </w:p>
    <w:p>
      <w:pPr>
        <w:pStyle w:val="null3"/>
        <w:jc w:val="center"/>
        <w:outlineLvl w:val="2"/>
      </w:pPr>
      <w:r>
        <w:rPr>
          <w:rFonts w:ascii="仿宋_GB2312" w:hAnsi="仿宋_GB2312" w:cs="仿宋_GB2312" w:eastAsia="仿宋_GB2312"/>
          <w:sz w:val="28"/>
          <w:b/>
        </w:rPr>
        <w:t>新筑街道办事处</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新筑街道办事处</w:t>
      </w:r>
      <w:r>
        <w:rPr>
          <w:rFonts w:ascii="仿宋_GB2312" w:hAnsi="仿宋_GB2312" w:cs="仿宋_GB2312" w:eastAsia="仿宋_GB2312"/>
        </w:rPr>
        <w:t>委托，拟对</w:t>
      </w:r>
      <w:r>
        <w:rPr>
          <w:rFonts w:ascii="仿宋_GB2312" w:hAnsi="仿宋_GB2312" w:cs="仿宋_GB2312" w:eastAsia="仿宋_GB2312"/>
        </w:rPr>
        <w:t>新筑街道纺渭路（高寨村段）污水管网改造工程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CGZC-2025-097、XBZB-2025-076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新筑街道纺渭路（高寨村段）污水管网改造工程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新筑街道纺渭路(高寨村段)污水管网改造工程，包括破除路面，管沟开挖、回填，新建管道等，具体详见工程量清单及图纸。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采购包1（新筑街道纺渭路(高寨村段)污水管网改造工程）：属于专门面向中小企业采购。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以及被授权人近三个月任意一个月在本单位的社保凭证），法定代表人直接参加磋商，须提供法定代表人身份证明；</w:t>
      </w:r>
    </w:p>
    <w:p>
      <w:pPr>
        <w:pStyle w:val="null3"/>
      </w:pPr>
      <w:r>
        <w:rPr>
          <w:rFonts w:ascii="仿宋_GB2312" w:hAnsi="仿宋_GB2312" w:cs="仿宋_GB2312" w:eastAsia="仿宋_GB2312"/>
        </w:rPr>
        <w:t>2、企业资质：供应商须具备建设部门颁发的市政公用工程施工总承包三级及以上资质；具备有效的安全生产许可证</w:t>
      </w:r>
    </w:p>
    <w:p>
      <w:pPr>
        <w:pStyle w:val="null3"/>
      </w:pPr>
      <w:r>
        <w:rPr>
          <w:rFonts w:ascii="仿宋_GB2312" w:hAnsi="仿宋_GB2312" w:cs="仿宋_GB2312" w:eastAsia="仿宋_GB2312"/>
        </w:rPr>
        <w:t>3、（项目经理）拟派项目负责人资质和专业要求：证书等级：二级及以上 专业：市政公用工程专业 补充说明：项目经理具有市政公用工程专业二级及以上注册建造师证，具备有效的安全生产考核合格证书（建安B证），且无在建工程（提供无在建声明）；</w:t>
      </w:r>
    </w:p>
    <w:p>
      <w:pPr>
        <w:pStyle w:val="null3"/>
      </w:pPr>
      <w:r>
        <w:rPr>
          <w:rFonts w:ascii="仿宋_GB2312" w:hAnsi="仿宋_GB2312" w:cs="仿宋_GB2312" w:eastAsia="仿宋_GB2312"/>
        </w:rPr>
        <w:t>4、供应商及项目经理基本信息查询：供应商及项目经理基本信息在“陕西省住房和城乡建设厅”或“全国建筑市场监管公共服务平台”（http://jzsc.mohurd.gov.cn/home）可查询</w:t>
      </w:r>
    </w:p>
    <w:p>
      <w:pPr>
        <w:pStyle w:val="null3"/>
      </w:pPr>
      <w:r>
        <w:rPr>
          <w:rFonts w:ascii="仿宋_GB2312" w:hAnsi="仿宋_GB2312" w:cs="仿宋_GB2312" w:eastAsia="仿宋_GB2312"/>
        </w:rPr>
        <w:t>5、信用信息：供应商未被中国政府采购网（www.ccgp.gov.cn）列入政府采购严重违法失信行为记录名单，未被“信用中国”网站（www.creditchina.gov.cn）列入失信被执行人和重大税收违法失信主体（以现场查询结果为准）</w:t>
      </w:r>
    </w:p>
    <w:p>
      <w:pPr>
        <w:pStyle w:val="null3"/>
      </w:pPr>
      <w:r>
        <w:rPr>
          <w:rFonts w:ascii="仿宋_GB2312" w:hAnsi="仿宋_GB2312" w:cs="仿宋_GB2312" w:eastAsia="仿宋_GB2312"/>
        </w:rPr>
        <w:t>6、本项目不接受联合体磋商：本项目不接受联合体磋商，按要求上传相应证明文件并进行电子签章。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新筑街道办事处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西安市灞桥区新筑街道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陕西省西安市灞桥区港兴三路与和畅路交叉口西北角</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029-83411364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陕西省西安市碑林区南关正街长安国际F座17层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张戈、王富敏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13299036777/13572926183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采购包1：2,473,900.00元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代理服务费收费标准：参照国家计委2002年颁发的《招标代理服务收费管理暂行办法》(计价格〔2002〕1980号)的规定计算。</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新筑街道办事处</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新筑街道办事处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新筑街道办事处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一、按照国家现行有关施工质量验收规范“合格”要求进行验收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联系人：张戈、王富敏</w:t>
      </w:r>
    </w:p>
    <w:p>
      <w:pPr>
        <w:pStyle w:val="null3"/>
      </w:pPr>
      <w:r>
        <w:rPr>
          <w:rFonts w:ascii="仿宋_GB2312" w:hAnsi="仿宋_GB2312" w:cs="仿宋_GB2312" w:eastAsia="仿宋_GB2312"/>
        </w:rPr>
        <w:t>联系电话：13299036777/13572926183</w:t>
      </w:r>
    </w:p>
    <w:p>
      <w:pPr>
        <w:pStyle w:val="null3"/>
      </w:pPr>
      <w:r>
        <w:rPr>
          <w:rFonts w:ascii="仿宋_GB2312" w:hAnsi="仿宋_GB2312" w:cs="仿宋_GB2312" w:eastAsia="仿宋_GB2312"/>
        </w:rPr>
        <w:t>地址：陕西省西安市碑林区南关正街长安国际F座17层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2,473,900.00</w:t>
      </w:r>
    </w:p>
    <w:p>
      <w:pPr>
        <w:pStyle w:val="null3"/>
      </w:pPr>
      <w:r>
        <w:rPr>
          <w:rFonts w:ascii="仿宋_GB2312" w:hAnsi="仿宋_GB2312" w:cs="仿宋_GB2312" w:eastAsia="仿宋_GB2312"/>
        </w:rPr>
        <w:t>采购包最高限价（元）: 2,378,335.69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新筑街道纺渭路（高寨村段）污水管网改造工程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2,473,900.00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标的名称：新筑街道纺渭路（高寨村段）污水管网改造工程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jc w:val="left"/>
            </w:pPr>
            <w:r>
              <w:rPr>
                <w:rFonts w:ascii="仿宋_GB2312" w:hAnsi="仿宋_GB2312" w:cs="仿宋_GB2312" w:eastAsia="仿宋_GB2312"/>
                <w:sz w:val="21"/>
                <w:color w:val="000000"/>
              </w:rPr>
              <w:t>为改善纺渭路两侧居民的居住环境，彻底解决纺渭路道路扬尘问题，我街办拟对纺渭路（高寨村段）进行污水管网改造。主要包括：纺渭路东侧新建主管网约1300米，并接入纺渭路扩建南段（于家村村口）市政污水检查井内，待纺渭路两侧管网完成后逐步完成村内污水口接户工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二、工程内容和施工地点、计划工期、缺陷责任期、质量保修期</w:t>
            </w:r>
          </w:p>
          <w:p>
            <w:pPr>
              <w:pStyle w:val="null3"/>
              <w:jc w:val="both"/>
            </w:pPr>
            <w:r>
              <w:rPr>
                <w:rFonts w:ascii="仿宋_GB2312" w:hAnsi="仿宋_GB2312" w:cs="仿宋_GB2312" w:eastAsia="仿宋_GB2312"/>
                <w:sz w:val="21"/>
                <w:color w:val="000000"/>
              </w:rPr>
              <w:t>1.工程内容：破除路面，管沟开挖、回填，新建管道等，具体详见工程量清单及图纸。</w:t>
            </w:r>
          </w:p>
          <w:p>
            <w:pPr>
              <w:pStyle w:val="null3"/>
              <w:jc w:val="both"/>
            </w:pPr>
            <w:r>
              <w:rPr>
                <w:rFonts w:ascii="仿宋_GB2312" w:hAnsi="仿宋_GB2312" w:cs="仿宋_GB2312" w:eastAsia="仿宋_GB2312"/>
                <w:sz w:val="21"/>
                <w:color w:val="000000"/>
              </w:rPr>
              <w:t>2.工程地点：纺渭路（高寨村段）</w:t>
            </w:r>
          </w:p>
          <w:p>
            <w:pPr>
              <w:pStyle w:val="null3"/>
              <w:jc w:val="both"/>
            </w:pPr>
            <w:r>
              <w:rPr>
                <w:rFonts w:ascii="仿宋_GB2312" w:hAnsi="仿宋_GB2312" w:cs="仿宋_GB2312" w:eastAsia="仿宋_GB2312"/>
                <w:sz w:val="21"/>
                <w:color w:val="000000"/>
              </w:rPr>
              <w:t>3.计划工期：自进场之日起60日历日。</w:t>
            </w:r>
          </w:p>
          <w:p>
            <w:pPr>
              <w:pStyle w:val="null3"/>
              <w:jc w:val="both"/>
            </w:pPr>
            <w:r>
              <w:rPr>
                <w:rFonts w:ascii="仿宋_GB2312" w:hAnsi="仿宋_GB2312" w:cs="仿宋_GB2312" w:eastAsia="仿宋_GB2312"/>
                <w:sz w:val="21"/>
                <w:color w:val="000000"/>
              </w:rPr>
              <w:t>4.缺陷责任期：</w:t>
            </w:r>
            <w:r>
              <w:rPr>
                <w:rFonts w:ascii="仿宋_GB2312" w:hAnsi="仿宋_GB2312" w:cs="仿宋_GB2312" w:eastAsia="仿宋_GB2312"/>
                <w:sz w:val="21"/>
                <w:color w:val="000000"/>
              </w:rPr>
              <w:t>12个月，缺陷责任期自工程通过竣工验收之日计算</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5.质量保修期：项目竣工验收合格之日起2年。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color w:val="000000"/>
              </w:rPr>
              <w:t>三、工程量清单和计价依据</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计价依据：计价依据《陕西省建设工程工程量清单计价规则》（2009年）、《陕西省建筑装饰工程消耗量定额》（2004年）、《陕西省建筑装饰工程2009年价目表》、《全国修缮定额土建工程陕西省价目表》（2001年）及配套费用定额、相关取费文件，报价以给定的工程量清单及现场情况自主编报。</w:t>
            </w:r>
          </w:p>
          <w:p>
            <w:pPr>
              <w:pStyle w:val="null3"/>
              <w:jc w:val="both"/>
            </w:pPr>
            <w:r>
              <w:rPr>
                <w:rFonts w:ascii="仿宋_GB2312" w:hAnsi="仿宋_GB2312" w:cs="仿宋_GB2312" w:eastAsia="仿宋_GB2312"/>
                <w:sz w:val="21"/>
                <w:color w:val="000000"/>
              </w:rPr>
              <w:t>2.工程量清单：</w:t>
            </w:r>
          </w:p>
          <w:p>
            <w:pPr>
              <w:pStyle w:val="null3"/>
              <w:jc w:val="left"/>
            </w:pPr>
            <w:r>
              <w:rPr>
                <w:rFonts w:ascii="仿宋_GB2312" w:hAnsi="仿宋_GB2312" w:cs="仿宋_GB2312" w:eastAsia="仿宋_GB2312"/>
                <w:sz w:val="21"/>
                <w:color w:val="000000"/>
              </w:rPr>
              <w:t>详见工程量清单附件。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60"/>
              <w:jc w:val="both"/>
            </w:pPr>
            <w:r>
              <w:rPr>
                <w:rFonts w:ascii="仿宋_GB2312" w:hAnsi="仿宋_GB2312" w:cs="仿宋_GB2312" w:eastAsia="仿宋_GB2312"/>
                <w:sz w:val="21"/>
                <w:color w:val="000000"/>
              </w:rPr>
              <w:t>四、施工要求</w:t>
            </w:r>
          </w:p>
          <w:p>
            <w:pPr>
              <w:pStyle w:val="null3"/>
              <w:jc w:val="left"/>
            </w:pPr>
            <w:r>
              <w:rPr>
                <w:rFonts w:ascii="仿宋_GB2312" w:hAnsi="仿宋_GB2312" w:cs="仿宋_GB2312" w:eastAsia="仿宋_GB2312"/>
                <w:sz w:val="21"/>
                <w:color w:val="000000"/>
              </w:rPr>
              <w:t>在施工期间，成交供应商必须注意院内人员安全，加强安全措施，并对施工人员进行安全教育。施工人员必须持证上岗。因采购人工作的特殊性，要求成交供应商在施工中做到封闭性施工。</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五、商务要求</w:t>
            </w:r>
          </w:p>
          <w:p>
            <w:pPr>
              <w:pStyle w:val="null3"/>
              <w:jc w:val="both"/>
            </w:pPr>
            <w:r>
              <w:rPr>
                <w:rFonts w:ascii="仿宋_GB2312" w:hAnsi="仿宋_GB2312" w:cs="仿宋_GB2312" w:eastAsia="仿宋_GB2312"/>
                <w:sz w:val="21"/>
                <w:color w:val="000000"/>
              </w:rPr>
              <w:t>1.质量验收标准：符合国家现行有关施工质量验收规范“合格”要求。</w:t>
            </w:r>
          </w:p>
          <w:p>
            <w:pPr>
              <w:pStyle w:val="null3"/>
              <w:jc w:val="both"/>
            </w:pPr>
            <w:r>
              <w:rPr>
                <w:rFonts w:ascii="仿宋_GB2312" w:hAnsi="仿宋_GB2312" w:cs="仿宋_GB2312" w:eastAsia="仿宋_GB2312"/>
                <w:sz w:val="21"/>
                <w:color w:val="000000"/>
              </w:rPr>
              <w:t>2.款项结算：</w:t>
            </w:r>
          </w:p>
          <w:p>
            <w:pPr>
              <w:pStyle w:val="null3"/>
              <w:jc w:val="both"/>
            </w:pPr>
            <w:r>
              <w:rPr>
                <w:rFonts w:ascii="仿宋_GB2312" w:hAnsi="仿宋_GB2312" w:cs="仿宋_GB2312" w:eastAsia="仿宋_GB2312"/>
                <w:sz w:val="21"/>
                <w:color w:val="000000"/>
              </w:rPr>
              <w:t>（1）付款条件说明：</w:t>
            </w:r>
          </w:p>
          <w:p>
            <w:pPr>
              <w:pStyle w:val="null3"/>
              <w:jc w:val="both"/>
            </w:pPr>
            <w:r>
              <w:rPr>
                <w:rFonts w:ascii="仿宋_GB2312" w:hAnsi="仿宋_GB2312" w:cs="仿宋_GB2312" w:eastAsia="仿宋_GB2312"/>
                <w:sz w:val="21"/>
                <w:color w:val="000000"/>
              </w:rPr>
              <w:t>①本项目有预付款，合同签订后10日内，支付合同总价款（暂定）的30%作为预付款；</w:t>
            </w:r>
          </w:p>
          <w:p>
            <w:pPr>
              <w:pStyle w:val="null3"/>
              <w:jc w:val="both"/>
            </w:pPr>
            <w:r>
              <w:rPr>
                <w:rFonts w:ascii="仿宋_GB2312" w:hAnsi="仿宋_GB2312" w:cs="仿宋_GB2312" w:eastAsia="仿宋_GB2312"/>
                <w:sz w:val="21"/>
                <w:color w:val="000000"/>
              </w:rPr>
              <w:t>②项目完工且验收合格后10日内，支付合同总价款（暂定）的50%；</w:t>
            </w:r>
          </w:p>
          <w:p>
            <w:pPr>
              <w:pStyle w:val="null3"/>
              <w:jc w:val="both"/>
            </w:pPr>
            <w:r>
              <w:rPr>
                <w:rFonts w:ascii="仿宋_GB2312" w:hAnsi="仿宋_GB2312" w:cs="仿宋_GB2312" w:eastAsia="仿宋_GB2312"/>
                <w:sz w:val="21"/>
                <w:color w:val="000000"/>
              </w:rPr>
              <w:t>③经审计部门审定后10日内，支付至审定金额的100%。</w:t>
            </w:r>
          </w:p>
          <w:p>
            <w:pPr>
              <w:pStyle w:val="null3"/>
              <w:jc w:val="both"/>
            </w:pPr>
            <w:r>
              <w:rPr>
                <w:rFonts w:ascii="仿宋_GB2312" w:hAnsi="仿宋_GB2312" w:cs="仿宋_GB2312" w:eastAsia="仿宋_GB2312"/>
                <w:sz w:val="21"/>
                <w:color w:val="000000"/>
              </w:rPr>
              <w:t>（2）结算方式：银行转账。</w:t>
            </w:r>
          </w:p>
          <w:p>
            <w:pPr>
              <w:pStyle w:val="null3"/>
              <w:jc w:val="left"/>
            </w:pPr>
            <w:r>
              <w:rPr>
                <w:rFonts w:ascii="仿宋_GB2312" w:hAnsi="仿宋_GB2312" w:cs="仿宋_GB2312" w:eastAsia="仿宋_GB2312"/>
                <w:sz w:val="21"/>
                <w:color w:val="000000"/>
              </w:rPr>
              <w:t>（3）结算单位：由甲方负责结算，乙方</w:t>
            </w:r>
            <w:r>
              <w:rPr>
                <w:rFonts w:ascii="仿宋_GB2312" w:hAnsi="仿宋_GB2312" w:cs="仿宋_GB2312" w:eastAsia="仿宋_GB2312"/>
                <w:sz w:val="21"/>
                <w:color w:val="000000"/>
              </w:rPr>
              <w:t>提供等额发票</w:t>
            </w:r>
            <w:r>
              <w:rPr>
                <w:rFonts w:ascii="仿宋_GB2312" w:hAnsi="仿宋_GB2312" w:cs="仿宋_GB2312" w:eastAsia="仿宋_GB2312"/>
                <w:sz w:val="21"/>
                <w:color w:val="000000"/>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1.工程量清单与图纸不一致时，以工程量清单为准。 2.成交供应商在领取成交通知书时需提供纸质版响应文件贰份、电子版U盘壹份。纸质版响应文件应与政府采购电子化交易平台中上传的内容保持一致。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料：1.具有独立承担民事责任能力的法人、其他组织或自然人，提供合法有效的统一社会信用代码营业执照（事业单位提供事业单位法人证书，自然人提供身份证明）； 2.财务状况报告：提供2023年度或2024年度经审计完整的财务审计报告（成立时间至提交响应文件截止时间不足一年的可提供成立后任意时段的资产负债表），或其开标前一年内银行出具的资信证明，或财政部门认可的政府采购专业担保机构出具的投标担保函； 3.税收缴纳证明：提供响应文件截止时间前一年内至少一个月已缴纳的纳税证明或完税证明（任意税种）；依法免税的投标人应提供相关文件证明； 4.社会保障资金缴纳证明：提供响应文件截止时间前一年内至少一个月已缴纳的社会保障资金的凭据（专用收据或社会保险缴纳清单）；依法不需要缴纳社会保障资金的投标人应提供相关文件证明； 5.提供具有履行本合同所必需的设备和专业技术能力的声明； 6.参加政府采购活动前3年内在经营活动中没有重大违法记录的书面承诺。</w:t>
            </w:r>
          </w:p>
        </w:tc>
        <w:tc>
          <w:tcPr>
            <w:tcW w:type="dxa" w:w="1661"/>
          </w:tcPr>
          <w:p>
            <w:pPr>
              <w:pStyle w:val="null3"/>
            </w:pPr>
            <w:r>
              <w:rPr>
                <w:rFonts w:ascii="仿宋_GB2312" w:hAnsi="仿宋_GB2312" w:cs="仿宋_GB2312" w:eastAsia="仿宋_GB2312"/>
              </w:rPr>
              <w:t>资格部分.docx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①可提供提供2023年度或2024年度经审计的财务报告（包含审计报告和审计报告中所涉及的财务报表和报表附注）；②可提供提供2023年度或2024年度供应商完整的全套财务报表（应当包括资产负债表、利润表、现金流量表、所有者权益变动表）；③可提供截至响应文件递交截止日前一年内银行出具的资信证明；④供应商注册时间截至响应文件递交截止日不足一年的，也可提供在工商管理部门备案的公司章程。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法定代表人授权书（附法定代表人、被授权人身份证复印件以及被授权人近三个月任意一个月在本单位的社保凭证），法定代表人直接参加磋商，须提供法定代表人身份证明；</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供应商须具备建设部门颁发的市政公用工程施工总承包三级及以上资质；具备有效的安全生产许可证</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（项目经理）拟派项目负责人资质和专业要求</w:t>
            </w:r>
          </w:p>
        </w:tc>
        <w:tc>
          <w:tcPr>
            <w:tcW w:type="dxa" w:w="3322"/>
          </w:tcPr>
          <w:p>
            <w:pPr>
              <w:pStyle w:val="null3"/>
            </w:pPr>
            <w:r>
              <w:rPr>
                <w:rFonts w:ascii="仿宋_GB2312" w:hAnsi="仿宋_GB2312" w:cs="仿宋_GB2312" w:eastAsia="仿宋_GB2312"/>
              </w:rPr>
              <w:t>证书等级：二级及以上 专业：市政公用工程专业 补充说明：项目经理具有市政公用工程专业二级及以上注册建造师证，具备有效的安全生产考核合格证书（建安B证），且无在建工程（提供无在建声明）；</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供应商及项目经理基本信息查询</w:t>
            </w:r>
          </w:p>
        </w:tc>
        <w:tc>
          <w:tcPr>
            <w:tcW w:type="dxa" w:w="3322"/>
          </w:tcPr>
          <w:p>
            <w:pPr>
              <w:pStyle w:val="null3"/>
            </w:pPr>
            <w:r>
              <w:rPr>
                <w:rFonts w:ascii="仿宋_GB2312" w:hAnsi="仿宋_GB2312" w:cs="仿宋_GB2312" w:eastAsia="仿宋_GB2312"/>
              </w:rPr>
              <w:t>供应商及项目经理基本信息在“陕西省住房和城乡建设厅”或“全国建筑市场监管公共服务平台”（http://jzsc.mohurd.gov.cn/home）可查询</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供应商未被中国政府采购网（www.ccgp.gov.cn）列入政府采购严重违法失信行为记录名单，未被“信用中国”网站（www.creditchina.gov.cn）列入失信被执行人和重大税收违法失信主体（以现场查询结果为准）</w:t>
            </w:r>
          </w:p>
        </w:tc>
        <w:tc>
          <w:tcPr>
            <w:tcW w:type="dxa" w:w="1661"/>
          </w:tcPr>
          <w:p>
            <w:pPr>
              <w:pStyle w:val="null3"/>
            </w:pPr>
            <w:r>
              <w:rPr>
                <w:rFonts w:ascii="仿宋_GB2312" w:hAnsi="仿宋_GB2312" w:cs="仿宋_GB2312" w:eastAsia="仿宋_GB2312"/>
              </w:rPr>
              <w:t>资格部分.docx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本项目不接受联合体磋商，按要求上传相应证明文件并进行电子签章。</w:t>
            </w:r>
          </w:p>
        </w:tc>
        <w:tc>
          <w:tcPr>
            <w:tcW w:type="dxa" w:w="1661"/>
          </w:tcPr>
          <w:p>
            <w:pPr>
              <w:pStyle w:val="null3"/>
            </w:pPr>
            <w:r>
              <w:rPr>
                <w:rFonts w:ascii="仿宋_GB2312" w:hAnsi="仿宋_GB2312" w:cs="仿宋_GB2312" w:eastAsia="仿宋_GB2312"/>
              </w:rPr>
              <w:t>资格部分.docx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响应文件封面 资格部分.docx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 已标价工程量清单 商务部分.docx 资格部分.docx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报价函 商务部分.docx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商务部分.docx 资格部分.docx 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商务部分.docx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不存在法律、法规和采购文件规定的其他无效磋商情形</w:t>
            </w:r>
          </w:p>
        </w:tc>
        <w:tc>
          <w:tcPr>
            <w:tcW w:type="dxa" w:w="1661"/>
          </w:tcPr>
          <w:p>
            <w:pPr>
              <w:pStyle w:val="null3"/>
            </w:pPr>
            <w:r>
              <w:rPr>
                <w:rFonts w:ascii="仿宋_GB2312" w:hAnsi="仿宋_GB2312" w:cs="仿宋_GB2312" w:eastAsia="仿宋_GB2312"/>
              </w:rPr>
              <w:t>其他资料.docx 商务部分.docx 技术部分.docx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则由全体磋商小组成员无记名投票得票高者排序在前。</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A.方案详细完善、合理可行、针对性强，得8分； B.方案较详细，基本合理可行、有针对性，得6分； C.方案较详细、基本合理可行，针对性欠缺，得4分； D.方案简单，可行性及针对性欠缺，得2分； E.其他或未提供得0分。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针对本项目提供具体的安全作业方案及安全配套措施进行综合评审。 A.安全作业方案及安全配套措施完善、合理可行、针对性强，得8分； B.安全作业方案及安全配套措施基本合理可行，有一定针对性，得6分； C.安全作业方案及安全配套措施基本合理可行，针对性欠缺，得4分； D.安全作业方案及安全配套措施简单，可行性及针对性欠缺，得2分。 E.其他或未提供得0分。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针对本项目提供的文明施工措施进行综合评审。 A.措施详细完善、合理可行、针对性强，得8分； B.措施较详细，基本合理可行、有一定针对性，得6分； C.措施较详细、基本合理可行，针对性欠缺，得4分； D.措施简单，可行性及针对性欠缺，得2分； E.其他或未提供得0分。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针对本项目全部工程内容提供具体的质量保修承诺及保障措施、工期承诺及保障措施、后续服务方案。 以上3部分方案内容全面详细、阐述条理清晰详尽、符合本项目采购需求，能有效保障本项目实施的得12分，每有一项方案缺失扣4分，每一项方案内容存在缺陷扣2分。 说明：缺陷是指①内容不合理、虽有内容但内容稀疏、不完善、内容表述前后不一致；②套用其他项目方案或与项目需求不匹配及其他不利于项目实施的等任意一种情形。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针对本项目的项目组织管理机构配备。 A.人员组织架构完整，岗位设置合理、明确，技术人员专业性、经验性强，得6分； B.人员组织架构有待优化，岗位设置基本合理，技术人员专业性、经验性欠缺，得4分； C.人员组织架构不完整，岗位设置紧张，技术人员专业性、经验性欠缺，得2分；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根据供应商提供的施工机械、设备和材料投入计划等进行评审。 A.主要机械配置齐全，设备型号、参数及用途清晰，针对性强，材料投入合理，得6分； B. 主要机械配置紧张，设备型号、参数及用途基本清晰，缺乏针对性，材料投入基本合理，得4分； C. 主要机械配置紧张，设备型号、参数及用途不清晰，材料投入有欠缺，得2分；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A.劳动力安排详细、合理、充分，组织有序，分工明确，得6分； B.劳动力安排合理、充分，有组织和分工，得4分； C.劳动力安排笼统，得2分；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针对本项目的临时性、阶段性工作及突发事件的应急处理方案。 A.应急处理方案全面、合理、规范、可实施性强，得6分； B.应急处理方案合理，具有一定实施性，得4分； C.应急处理方案基本合理，可实施性欠缺，得2分； D.其他或未提供得0分。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A.描述详细、完整可行、有针对性，得4分； B.描述简单、缺乏针对性，得2分； C.其他或未提供得0分。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供应商2022年1月1日至截标时间前类似项目业绩；每提供1份计2分，最高得6分。 业绩证明（供应商须在响应文件中附合同协议书扫描件或者中标通知书扫描件并加盖单位公章。提供合同的，以合同签订时间为准。证明材料不符合要求或未提供的不得分）弄虚作假者，取消其成交资格。</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1、经初审合格的响应文件，其最终报价为有效报价。 2、有效最低报价为基准价得30分。 3、按（磋商基准价/有效最终磋商报价）×30的公式计算报价得分。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详见附件：资格部分.docx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详见附件：商务部分.docx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