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D6E5A0">
      <w:pPr>
        <w:pStyle w:val="8"/>
        <w:ind w:firstLine="960"/>
        <w:jc w:val="center"/>
        <w:rPr>
          <w:rFonts w:hint="eastAsia" w:ascii="仿宋" w:hAnsi="仿宋" w:eastAsia="仿宋" w:cs="仿宋"/>
          <w:sz w:val="28"/>
          <w:szCs w:val="28"/>
          <w:highlight w:val="none"/>
        </w:rPr>
      </w:pPr>
      <w:r>
        <w:rPr>
          <w:rFonts w:hint="eastAsia" w:ascii="仿宋" w:hAnsi="仿宋" w:eastAsia="仿宋" w:cs="仿宋"/>
          <w:b/>
          <w:sz w:val="28"/>
          <w:szCs w:val="28"/>
          <w:highlight w:val="none"/>
        </w:rPr>
        <w:t>第八章 拟签订采购合同文本</w:t>
      </w:r>
    </w:p>
    <w:p w14:paraId="2985087A">
      <w:pPr>
        <w:pStyle w:val="2"/>
        <w:ind w:left="0" w:leftChars="0" w:firstLine="0" w:firstLineChars="0"/>
        <w:jc w:val="center"/>
        <w:rPr>
          <w:rFonts w:hint="eastAsia" w:ascii="仿宋" w:hAnsi="仿宋" w:eastAsia="仿宋" w:cs="仿宋"/>
          <w:b/>
          <w:sz w:val="28"/>
          <w:szCs w:val="28"/>
          <w:highlight w:val="none"/>
        </w:rPr>
      </w:pPr>
      <w:r>
        <w:rPr>
          <w:rFonts w:hint="eastAsia" w:ascii="仿宋" w:hAnsi="仿宋" w:eastAsia="仿宋" w:cs="仿宋"/>
          <w:spacing w:val="7"/>
          <w:sz w:val="28"/>
          <w:szCs w:val="28"/>
          <w:highlight w:val="none"/>
        </w:rPr>
        <w:t>拟签订合同文本</w:t>
      </w:r>
    </w:p>
    <w:p w14:paraId="4608E354">
      <w:pPr>
        <w:pStyle w:val="3"/>
        <w:ind w:left="0"/>
        <w:rPr>
          <w:rFonts w:hint="eastAsia" w:ascii="仿宋" w:hAnsi="仿宋" w:eastAsia="仿宋" w:cs="仿宋"/>
          <w:b/>
          <w:sz w:val="28"/>
          <w:szCs w:val="28"/>
          <w:highlight w:val="none"/>
        </w:rPr>
      </w:pPr>
    </w:p>
    <w:p w14:paraId="1BEDC9B8">
      <w:pPr>
        <w:pStyle w:val="3"/>
        <w:tabs>
          <w:tab w:val="left" w:pos="567"/>
        </w:tabs>
        <w:rPr>
          <w:rFonts w:hint="eastAsia" w:ascii="仿宋" w:hAnsi="仿宋" w:eastAsia="仿宋" w:cs="仿宋"/>
          <w:sz w:val="28"/>
          <w:szCs w:val="28"/>
          <w:highlight w:val="none"/>
        </w:rPr>
      </w:pPr>
    </w:p>
    <w:p w14:paraId="33673B55">
      <w:pPr>
        <w:jc w:val="center"/>
        <w:rPr>
          <w:rFonts w:hint="eastAsia" w:ascii="仿宋" w:hAnsi="仿宋" w:eastAsia="仿宋" w:cs="仿宋"/>
          <w:b/>
          <w:sz w:val="28"/>
          <w:szCs w:val="28"/>
          <w:highlight w:val="none"/>
        </w:rPr>
      </w:pPr>
    </w:p>
    <w:p w14:paraId="36F0D8B4">
      <w:pPr>
        <w:spacing w:line="600" w:lineRule="auto"/>
        <w:jc w:val="center"/>
        <w:rPr>
          <w:rFonts w:hint="eastAsia" w:ascii="仿宋" w:hAnsi="仿宋" w:eastAsia="仿宋" w:cs="仿宋"/>
          <w:b/>
          <w:sz w:val="28"/>
          <w:szCs w:val="28"/>
          <w:highlight w:val="none"/>
          <w:lang w:val="en-US" w:eastAsia="zh-CN"/>
        </w:rPr>
      </w:pPr>
    </w:p>
    <w:p w14:paraId="102815D5">
      <w:pPr>
        <w:spacing w:line="600" w:lineRule="auto"/>
        <w:jc w:val="center"/>
        <w:rPr>
          <w:rFonts w:hint="eastAsia" w:ascii="仿宋" w:hAnsi="仿宋" w:eastAsia="仿宋" w:cs="仿宋"/>
          <w:b/>
          <w:sz w:val="22"/>
          <w:szCs w:val="22"/>
          <w:highlight w:val="none"/>
        </w:rPr>
      </w:pPr>
      <w:r>
        <w:rPr>
          <w:rFonts w:hint="eastAsia" w:ascii="仿宋" w:hAnsi="仿宋" w:eastAsia="仿宋" w:cs="仿宋"/>
          <w:b/>
          <w:sz w:val="36"/>
          <w:szCs w:val="36"/>
          <w:highlight w:val="none"/>
          <w:lang w:val="en-US" w:eastAsia="zh-CN"/>
        </w:rPr>
        <w:t>新筑街道杨贺仓门涝池改造工程</w:t>
      </w:r>
    </w:p>
    <w:p w14:paraId="2B6A0AC5">
      <w:pPr>
        <w:pStyle w:val="5"/>
        <w:rPr>
          <w:rFonts w:hint="eastAsia" w:ascii="仿宋" w:hAnsi="仿宋" w:eastAsia="仿宋" w:cs="仿宋"/>
          <w:b/>
          <w:sz w:val="40"/>
          <w:szCs w:val="40"/>
          <w:highlight w:val="none"/>
        </w:rPr>
      </w:pPr>
    </w:p>
    <w:p w14:paraId="109BE903">
      <w:pPr>
        <w:spacing w:line="480" w:lineRule="auto"/>
        <w:jc w:val="center"/>
        <w:rPr>
          <w:rFonts w:hint="eastAsia" w:ascii="仿宋" w:hAnsi="仿宋" w:eastAsia="仿宋" w:cs="仿宋"/>
          <w:b/>
          <w:sz w:val="40"/>
          <w:szCs w:val="40"/>
          <w:highlight w:val="none"/>
        </w:rPr>
      </w:pPr>
      <w:r>
        <w:rPr>
          <w:rFonts w:hint="eastAsia" w:ascii="仿宋" w:hAnsi="仿宋" w:eastAsia="仿宋" w:cs="仿宋"/>
          <w:b/>
          <w:sz w:val="40"/>
          <w:szCs w:val="40"/>
          <w:highlight w:val="none"/>
        </w:rPr>
        <w:t>合 同 书</w:t>
      </w:r>
    </w:p>
    <w:p w14:paraId="3445822D">
      <w:pPr>
        <w:rPr>
          <w:rFonts w:hint="eastAsia" w:ascii="仿宋" w:hAnsi="仿宋" w:eastAsia="仿宋" w:cs="仿宋"/>
          <w:b/>
          <w:sz w:val="20"/>
          <w:szCs w:val="20"/>
          <w:highlight w:val="none"/>
        </w:rPr>
      </w:pPr>
    </w:p>
    <w:p w14:paraId="0E6D752C">
      <w:pPr>
        <w:pStyle w:val="5"/>
        <w:rPr>
          <w:rFonts w:hint="eastAsia" w:ascii="仿宋" w:hAnsi="仿宋" w:eastAsia="仿宋" w:cs="仿宋"/>
          <w:sz w:val="20"/>
          <w:szCs w:val="20"/>
          <w:highlight w:val="none"/>
        </w:rPr>
      </w:pPr>
    </w:p>
    <w:p w14:paraId="07F60C55">
      <w:pPr>
        <w:spacing w:line="480" w:lineRule="auto"/>
        <w:ind w:left="1469" w:hanging="1469" w:hangingChars="400"/>
        <w:jc w:val="center"/>
        <w:rPr>
          <w:rFonts w:hint="eastAsia" w:ascii="仿宋" w:hAnsi="仿宋" w:eastAsia="仿宋" w:cs="仿宋"/>
          <w:b/>
          <w:spacing w:val="23"/>
          <w:sz w:val="32"/>
          <w:szCs w:val="32"/>
          <w:highlight w:val="none"/>
        </w:rPr>
      </w:pPr>
    </w:p>
    <w:p w14:paraId="289B348D">
      <w:pPr>
        <w:pStyle w:val="4"/>
        <w:rPr>
          <w:rFonts w:hint="eastAsia" w:ascii="仿宋" w:hAnsi="仿宋" w:eastAsia="仿宋" w:cs="仿宋"/>
          <w:b/>
          <w:spacing w:val="23"/>
          <w:sz w:val="32"/>
          <w:szCs w:val="32"/>
          <w:highlight w:val="none"/>
        </w:rPr>
      </w:pPr>
    </w:p>
    <w:p w14:paraId="721FD605">
      <w:pPr>
        <w:pStyle w:val="4"/>
        <w:rPr>
          <w:rFonts w:hint="eastAsia" w:ascii="仿宋" w:hAnsi="仿宋" w:eastAsia="仿宋" w:cs="仿宋"/>
          <w:b/>
          <w:spacing w:val="23"/>
          <w:sz w:val="32"/>
          <w:szCs w:val="32"/>
          <w:highlight w:val="none"/>
        </w:rPr>
      </w:pPr>
    </w:p>
    <w:p w14:paraId="1F5157F7">
      <w:pPr>
        <w:pStyle w:val="4"/>
        <w:ind w:left="0" w:leftChars="0" w:firstLine="0" w:firstLineChars="0"/>
        <w:rPr>
          <w:rFonts w:hint="eastAsia" w:ascii="仿宋" w:hAnsi="仿宋" w:eastAsia="仿宋" w:cs="仿宋"/>
          <w:b/>
          <w:spacing w:val="23"/>
          <w:sz w:val="32"/>
          <w:szCs w:val="32"/>
          <w:highlight w:val="none"/>
        </w:rPr>
      </w:pPr>
    </w:p>
    <w:p w14:paraId="2EE20CA3">
      <w:pPr>
        <w:pStyle w:val="4"/>
        <w:rPr>
          <w:rFonts w:hint="eastAsia" w:ascii="仿宋" w:hAnsi="仿宋" w:eastAsia="仿宋" w:cs="仿宋"/>
          <w:b/>
          <w:spacing w:val="23"/>
          <w:sz w:val="32"/>
          <w:szCs w:val="32"/>
          <w:highlight w:val="none"/>
        </w:rPr>
      </w:pPr>
    </w:p>
    <w:p w14:paraId="668847C9">
      <w:pPr>
        <w:spacing w:line="480" w:lineRule="auto"/>
        <w:ind w:left="1469" w:hanging="1308" w:hangingChars="400"/>
        <w:jc w:val="center"/>
        <w:rPr>
          <w:rFonts w:hint="eastAsia" w:ascii="仿宋" w:hAnsi="仿宋" w:eastAsia="仿宋" w:cs="仿宋"/>
          <w:b/>
          <w:bCs w:val="0"/>
          <w:spacing w:val="23"/>
          <w:sz w:val="28"/>
          <w:szCs w:val="28"/>
          <w:highlight w:val="none"/>
        </w:rPr>
      </w:pPr>
      <w:r>
        <w:rPr>
          <w:rFonts w:hint="eastAsia" w:ascii="仿宋" w:hAnsi="仿宋" w:eastAsia="仿宋" w:cs="仿宋"/>
          <w:b/>
          <w:bCs w:val="0"/>
          <w:spacing w:val="23"/>
          <w:sz w:val="28"/>
          <w:szCs w:val="28"/>
          <w:highlight w:val="none"/>
          <w:lang w:val="en-US" w:eastAsia="zh-CN"/>
        </w:rPr>
        <w:t xml:space="preserve"> </w:t>
      </w:r>
      <w:r>
        <w:rPr>
          <w:rFonts w:hint="eastAsia" w:ascii="仿宋" w:hAnsi="仿宋" w:eastAsia="仿宋" w:cs="仿宋"/>
          <w:b/>
          <w:bCs w:val="0"/>
          <w:spacing w:val="23"/>
          <w:sz w:val="28"/>
          <w:szCs w:val="28"/>
          <w:highlight w:val="none"/>
        </w:rPr>
        <w:t>甲方(</w:t>
      </w:r>
      <w:r>
        <w:rPr>
          <w:rFonts w:hint="eastAsia" w:ascii="仿宋" w:hAnsi="仿宋" w:eastAsia="仿宋" w:cs="仿宋"/>
          <w:b/>
          <w:bCs w:val="0"/>
          <w:sz w:val="28"/>
          <w:szCs w:val="28"/>
          <w:highlight w:val="none"/>
          <w:lang w:val="en-US" w:eastAsia="zh-CN"/>
        </w:rPr>
        <w:t>发包人</w:t>
      </w:r>
      <w:r>
        <w:rPr>
          <w:rFonts w:hint="eastAsia" w:ascii="仿宋" w:hAnsi="仿宋" w:eastAsia="仿宋" w:cs="仿宋"/>
          <w:b/>
          <w:bCs w:val="0"/>
          <w:spacing w:val="23"/>
          <w:sz w:val="28"/>
          <w:szCs w:val="28"/>
          <w:highlight w:val="none"/>
        </w:rPr>
        <w:t>)：</w:t>
      </w:r>
      <w:r>
        <w:rPr>
          <w:rFonts w:hint="eastAsia" w:ascii="仿宋" w:hAnsi="仿宋" w:eastAsia="仿宋" w:cs="仿宋"/>
          <w:b/>
          <w:bCs w:val="0"/>
          <w:spacing w:val="23"/>
          <w:sz w:val="28"/>
          <w:szCs w:val="28"/>
          <w:highlight w:val="none"/>
          <w:u w:val="single"/>
        </w:rPr>
        <w:t></w:t>
      </w:r>
    </w:p>
    <w:p w14:paraId="7F098304">
      <w:pPr>
        <w:spacing w:line="480" w:lineRule="auto"/>
        <w:ind w:left="960" w:hanging="1124" w:hangingChars="400"/>
        <w:jc w:val="center"/>
        <w:rPr>
          <w:rFonts w:hint="eastAsia" w:ascii="仿宋" w:hAnsi="仿宋" w:eastAsia="仿宋" w:cs="仿宋"/>
          <w:b/>
          <w:bCs w:val="0"/>
          <w:spacing w:val="23"/>
          <w:sz w:val="28"/>
          <w:szCs w:val="28"/>
          <w:highlight w:val="none"/>
          <w:u w:val="single"/>
        </w:rPr>
      </w:pPr>
      <w:r>
        <w:rPr>
          <w:rFonts w:hint="eastAsia" w:ascii="仿宋" w:hAnsi="仿宋" w:eastAsia="仿宋" w:cs="仿宋"/>
          <w:b/>
          <w:bCs w:val="0"/>
          <w:sz w:val="28"/>
          <w:szCs w:val="28"/>
          <w:highlight w:val="none"/>
          <w:lang w:val="en-US" w:eastAsia="zh-CN"/>
        </w:rPr>
        <w:t xml:space="preserve">  </w:t>
      </w:r>
      <w:r>
        <w:rPr>
          <w:rFonts w:hint="eastAsia" w:ascii="仿宋" w:hAnsi="仿宋" w:eastAsia="仿宋" w:cs="仿宋"/>
          <w:b/>
          <w:bCs w:val="0"/>
          <w:sz w:val="28"/>
          <w:szCs w:val="28"/>
          <w:highlight w:val="none"/>
        </w:rPr>
        <w:fldChar w:fldCharType="begin"/>
      </w:r>
      <w:r>
        <w:rPr>
          <w:rFonts w:hint="eastAsia" w:ascii="仿宋" w:hAnsi="仿宋" w:eastAsia="仿宋" w:cs="仿宋"/>
          <w:b/>
          <w:bCs w:val="0"/>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bCs w:val="0"/>
          <w:sz w:val="28"/>
          <w:szCs w:val="28"/>
          <w:highlight w:val="none"/>
        </w:rPr>
        <w:fldChar w:fldCharType="separate"/>
      </w:r>
      <w:r>
        <w:rPr>
          <w:rFonts w:hint="eastAsia" w:ascii="仿宋" w:hAnsi="仿宋" w:eastAsia="仿宋" w:cs="仿宋"/>
          <w:b/>
          <w:bCs w:val="0"/>
          <w:spacing w:val="23"/>
          <w:sz w:val="28"/>
          <w:szCs w:val="28"/>
          <w:highlight w:val="none"/>
        </w:rPr>
        <w:t>乙方</w:t>
      </w:r>
      <w:r>
        <w:rPr>
          <w:rFonts w:hint="eastAsia" w:ascii="仿宋" w:hAnsi="仿宋" w:eastAsia="仿宋" w:cs="仿宋"/>
          <w:b/>
          <w:bCs w:val="0"/>
          <w:spacing w:val="23"/>
          <w:sz w:val="28"/>
          <w:szCs w:val="28"/>
          <w:highlight w:val="none"/>
        </w:rPr>
        <w:fldChar w:fldCharType="end"/>
      </w:r>
      <w:r>
        <w:rPr>
          <w:rFonts w:hint="eastAsia" w:ascii="仿宋" w:hAnsi="仿宋" w:eastAsia="仿宋" w:cs="仿宋"/>
          <w:b/>
          <w:bCs w:val="0"/>
          <w:spacing w:val="23"/>
          <w:sz w:val="28"/>
          <w:szCs w:val="28"/>
          <w:highlight w:val="none"/>
        </w:rPr>
        <w:t>(</w:t>
      </w:r>
      <w:r>
        <w:rPr>
          <w:rFonts w:hint="eastAsia" w:ascii="仿宋" w:hAnsi="仿宋" w:eastAsia="仿宋" w:cs="仿宋"/>
          <w:b/>
          <w:bCs w:val="0"/>
          <w:spacing w:val="23"/>
          <w:sz w:val="28"/>
          <w:szCs w:val="28"/>
          <w:highlight w:val="none"/>
          <w:lang w:val="en-US" w:eastAsia="zh-CN"/>
        </w:rPr>
        <w:t>承包人</w:t>
      </w:r>
      <w:r>
        <w:rPr>
          <w:rFonts w:hint="eastAsia" w:ascii="仿宋" w:hAnsi="仿宋" w:eastAsia="仿宋" w:cs="仿宋"/>
          <w:b/>
          <w:bCs w:val="0"/>
          <w:spacing w:val="23"/>
          <w:sz w:val="28"/>
          <w:szCs w:val="28"/>
          <w:highlight w:val="none"/>
        </w:rPr>
        <w:t>)：</w:t>
      </w:r>
      <w:r>
        <w:rPr>
          <w:rFonts w:hint="eastAsia" w:ascii="仿宋" w:hAnsi="仿宋" w:eastAsia="仿宋" w:cs="仿宋"/>
          <w:b/>
          <w:bCs w:val="0"/>
          <w:spacing w:val="23"/>
          <w:sz w:val="28"/>
          <w:szCs w:val="28"/>
          <w:highlight w:val="none"/>
          <w:u w:val="single"/>
        </w:rPr>
        <w:t></w:t>
      </w:r>
    </w:p>
    <w:p w14:paraId="4A7E2A08">
      <w:pPr>
        <w:tabs>
          <w:tab w:val="left" w:pos="1995"/>
        </w:tabs>
        <w:spacing w:line="480" w:lineRule="auto"/>
        <w:ind w:left="1258" w:leftChars="599" w:firstLine="654" w:firstLineChars="200"/>
        <w:jc w:val="both"/>
        <w:rPr>
          <w:rFonts w:hint="eastAsia" w:ascii="仿宋" w:hAnsi="仿宋" w:eastAsia="仿宋" w:cs="仿宋"/>
          <w:spacing w:val="23"/>
          <w:sz w:val="28"/>
          <w:szCs w:val="28"/>
          <w:highlight w:val="none"/>
          <w:u w:val="single"/>
        </w:rPr>
      </w:pPr>
      <w:r>
        <w:rPr>
          <w:rFonts w:hint="eastAsia" w:ascii="仿宋" w:hAnsi="仿宋" w:eastAsia="仿宋" w:cs="仿宋"/>
          <w:b/>
          <w:bCs w:val="0"/>
          <w:spacing w:val="23"/>
          <w:sz w:val="28"/>
          <w:szCs w:val="28"/>
          <w:highlight w:val="none"/>
        </w:rPr>
        <w:t>签订时间：</w:t>
      </w:r>
      <w:r>
        <w:rPr>
          <w:rFonts w:hint="eastAsia" w:ascii="仿宋" w:hAnsi="仿宋" w:eastAsia="仿宋" w:cs="仿宋"/>
          <w:b/>
          <w:bCs w:val="0"/>
          <w:spacing w:val="23"/>
          <w:sz w:val="28"/>
          <w:szCs w:val="28"/>
          <w:highlight w:val="none"/>
          <w:u w:val="single"/>
        </w:rPr>
        <w:t></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28"/>
          <w:szCs w:val="28"/>
          <w:highlight w:val="none"/>
        </w:rPr>
        <w:t>年</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28"/>
          <w:szCs w:val="28"/>
          <w:highlight w:val="none"/>
        </w:rPr>
        <w:t>月</w:t>
      </w:r>
      <w:r>
        <w:rPr>
          <w:rFonts w:hint="eastAsia" w:ascii="仿宋" w:hAnsi="仿宋" w:eastAsia="仿宋" w:cs="仿宋"/>
          <w:spacing w:val="23"/>
          <w:sz w:val="28"/>
          <w:szCs w:val="28"/>
          <w:highlight w:val="none"/>
          <w:u w:val="single"/>
        </w:rPr>
        <w:t></w:t>
      </w:r>
    </w:p>
    <w:p w14:paraId="7AF7AACC">
      <w:pPr>
        <w:spacing w:line="240" w:lineRule="auto"/>
        <w:ind w:firstLine="400" w:firstLineChars="200"/>
        <w:jc w:val="center"/>
        <w:rPr>
          <w:rFonts w:hint="eastAsia" w:ascii="仿宋" w:hAnsi="仿宋" w:eastAsia="仿宋" w:cs="仿宋"/>
          <w:i/>
          <w:iCs/>
          <w:color w:val="FF0000"/>
          <w:sz w:val="20"/>
          <w:szCs w:val="20"/>
          <w:highlight w:val="none"/>
        </w:rPr>
        <w:sectPr>
          <w:footerReference r:id="rId3" w:type="default"/>
          <w:pgSz w:w="11906" w:h="16838"/>
          <w:pgMar w:top="1418" w:right="1797" w:bottom="1418" w:left="1797" w:header="1134" w:footer="1134" w:gutter="0"/>
          <w:pgNumType w:fmt="decimal" w:start="1"/>
          <w:cols w:space="720" w:num="1"/>
          <w:docGrid w:type="lines" w:linePitch="312" w:charSpace="0"/>
        </w:sectPr>
      </w:pPr>
    </w:p>
    <w:p w14:paraId="572CD714">
      <w:pPr>
        <w:spacing w:line="360" w:lineRule="auto"/>
        <w:ind w:firstLine="400" w:firstLineChars="200"/>
        <w:rPr>
          <w:rFonts w:hint="eastAsia" w:ascii="仿宋" w:hAnsi="仿宋" w:eastAsia="仿宋" w:cs="仿宋"/>
          <w:bCs/>
          <w:sz w:val="20"/>
          <w:szCs w:val="20"/>
          <w:highlight w:val="none"/>
          <w:u w:val="single"/>
          <w:lang w:val="en-US" w:eastAsia="zh-CN"/>
        </w:rPr>
      </w:pPr>
      <w:r>
        <w:rPr>
          <w:rFonts w:hint="eastAsia" w:ascii="仿宋" w:hAnsi="仿宋" w:eastAsia="仿宋" w:cs="仿宋"/>
          <w:bCs/>
          <w:sz w:val="20"/>
          <w:szCs w:val="20"/>
          <w:highlight w:val="none"/>
          <w:lang w:val="en-US" w:eastAsia="zh-CN"/>
        </w:rPr>
        <w:t>采购</w:t>
      </w:r>
      <w:r>
        <w:rPr>
          <w:rFonts w:hint="eastAsia" w:ascii="仿宋" w:hAnsi="仿宋" w:eastAsia="仿宋" w:cs="仿宋"/>
          <w:bCs/>
          <w:sz w:val="20"/>
          <w:szCs w:val="20"/>
          <w:highlight w:val="none"/>
        </w:rPr>
        <w:t>人（以下简称甲方）：</w:t>
      </w:r>
      <w:r>
        <w:rPr>
          <w:rFonts w:hint="eastAsia" w:ascii="仿宋" w:hAnsi="仿宋" w:eastAsia="仿宋" w:cs="仿宋"/>
          <w:bCs/>
          <w:sz w:val="20"/>
          <w:szCs w:val="20"/>
          <w:highlight w:val="none"/>
          <w:u w:val="single"/>
          <w:lang w:val="en-US" w:eastAsia="zh-CN"/>
        </w:rPr>
        <w:t xml:space="preserve">                            </w:t>
      </w:r>
    </w:p>
    <w:p w14:paraId="397AD33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u w:val="single"/>
          <w:lang w:val="en-US" w:eastAsia="zh-CN"/>
        </w:rPr>
      </w:pPr>
      <w:r>
        <w:rPr>
          <w:rFonts w:hint="eastAsia" w:ascii="仿宋" w:hAnsi="仿宋" w:eastAsia="仿宋" w:cs="仿宋"/>
          <w:bCs/>
          <w:sz w:val="20"/>
          <w:szCs w:val="20"/>
          <w:highlight w:val="none"/>
          <w:lang w:val="en-US" w:eastAsia="zh-CN"/>
        </w:rPr>
        <w:t>供应商</w:t>
      </w:r>
      <w:r>
        <w:rPr>
          <w:rFonts w:hint="eastAsia" w:ascii="仿宋" w:hAnsi="仿宋" w:eastAsia="仿宋" w:cs="仿宋"/>
          <w:bCs/>
          <w:sz w:val="20"/>
          <w:szCs w:val="20"/>
          <w:highlight w:val="none"/>
        </w:rPr>
        <w:t>（以下简称乙方）：</w:t>
      </w:r>
      <w:r>
        <w:rPr>
          <w:rFonts w:hint="eastAsia" w:ascii="仿宋" w:hAnsi="仿宋" w:eastAsia="仿宋" w:cs="仿宋"/>
          <w:bCs/>
          <w:sz w:val="20"/>
          <w:szCs w:val="20"/>
          <w:highlight w:val="none"/>
          <w:u w:val="single"/>
          <w:lang w:val="en-US" w:eastAsia="zh-CN"/>
        </w:rPr>
        <w:t xml:space="preserve">                            </w:t>
      </w:r>
    </w:p>
    <w:p w14:paraId="45ED7045">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根据《中华人民共和国政府采购法》、《中华人民共和国</w:t>
      </w:r>
      <w:r>
        <w:rPr>
          <w:rFonts w:hint="eastAsia" w:ascii="仿宋" w:hAnsi="仿宋" w:eastAsia="仿宋" w:cs="仿宋"/>
          <w:bCs/>
          <w:sz w:val="20"/>
          <w:szCs w:val="20"/>
          <w:highlight w:val="none"/>
          <w:lang w:val="en-US" w:eastAsia="zh-CN"/>
        </w:rPr>
        <w:t>民法典</w:t>
      </w:r>
      <w:r>
        <w:rPr>
          <w:rFonts w:hint="eastAsia" w:ascii="仿宋" w:hAnsi="仿宋" w:eastAsia="仿宋" w:cs="仿宋"/>
          <w:bCs/>
          <w:sz w:val="20"/>
          <w:szCs w:val="20"/>
          <w:highlight w:val="none"/>
        </w:rPr>
        <w:t>》和《中华人民共和国建筑法》及其它有关法律、行政法规，为明确双方在施工过程中的权利、义务，经双方协商自愿签订本合同。</w:t>
      </w:r>
    </w:p>
    <w:p w14:paraId="7C2F97FB">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第一条  工程项目</w:t>
      </w:r>
    </w:p>
    <w:p w14:paraId="73BF5929">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、项目名称：</w:t>
      </w:r>
      <w:r>
        <w:rPr>
          <w:rFonts w:hint="eastAsia" w:ascii="仿宋" w:hAnsi="仿宋" w:eastAsia="仿宋" w:cs="仿宋"/>
          <w:bCs/>
          <w:sz w:val="20"/>
          <w:szCs w:val="20"/>
          <w:highlight w:val="none"/>
          <w:lang w:val="en-US" w:eastAsia="zh-CN"/>
        </w:rPr>
        <w:t>新筑街道杨贺仓门涝池改造工程</w:t>
      </w:r>
    </w:p>
    <w:p w14:paraId="5B998C8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工程内容</w:t>
      </w:r>
      <w:r>
        <w:rPr>
          <w:rFonts w:hint="eastAsia" w:ascii="仿宋" w:hAnsi="仿宋" w:eastAsia="仿宋" w:cs="仿宋"/>
          <w:bCs/>
          <w:sz w:val="20"/>
          <w:szCs w:val="20"/>
          <w:highlight w:val="none"/>
        </w:rPr>
        <w:t>填埋涝池，疏通下游管道，新建管道</w:t>
      </w:r>
    </w:p>
    <w:p w14:paraId="447DC4DE">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2</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工程地点：仓门村、杨贺村</w:t>
      </w:r>
    </w:p>
    <w:p w14:paraId="1AC7B356">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第二条  施工依据</w:t>
      </w:r>
    </w:p>
    <w:p w14:paraId="678F290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、施工合同；</w:t>
      </w:r>
    </w:p>
    <w:p w14:paraId="5FC1143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成交</w:t>
      </w:r>
      <w:r>
        <w:rPr>
          <w:rFonts w:hint="eastAsia" w:ascii="仿宋" w:hAnsi="仿宋" w:eastAsia="仿宋" w:cs="仿宋"/>
          <w:bCs/>
          <w:sz w:val="20"/>
          <w:szCs w:val="20"/>
          <w:highlight w:val="none"/>
        </w:rPr>
        <w:t>通知书；</w:t>
      </w:r>
    </w:p>
    <w:p w14:paraId="1FF80505">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响应文件</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竞争性磋商文件</w:t>
      </w:r>
      <w:r>
        <w:rPr>
          <w:rFonts w:hint="eastAsia" w:ascii="仿宋" w:hAnsi="仿宋" w:eastAsia="仿宋" w:cs="仿宋"/>
          <w:bCs/>
          <w:sz w:val="20"/>
          <w:szCs w:val="20"/>
          <w:highlight w:val="none"/>
        </w:rPr>
        <w:t>及其附件；</w:t>
      </w:r>
    </w:p>
    <w:p w14:paraId="778375A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、标准、规范及有关技术文件；</w:t>
      </w:r>
    </w:p>
    <w:p w14:paraId="3D24E16F">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val="en-US" w:eastAsia="zh-CN"/>
        </w:rPr>
        <w:t>5</w:t>
      </w:r>
      <w:r>
        <w:rPr>
          <w:rFonts w:hint="eastAsia" w:ascii="仿宋" w:hAnsi="仿宋" w:eastAsia="仿宋" w:cs="仿宋"/>
          <w:bCs/>
          <w:sz w:val="20"/>
          <w:szCs w:val="20"/>
          <w:highlight w:val="none"/>
        </w:rPr>
        <w:t>、工程量清单；</w:t>
      </w:r>
    </w:p>
    <w:p w14:paraId="0D1DFBE4">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6</w:t>
      </w:r>
      <w:r>
        <w:rPr>
          <w:rFonts w:hint="eastAsia" w:ascii="仿宋" w:hAnsi="仿宋" w:eastAsia="仿宋" w:cs="仿宋"/>
          <w:bCs/>
          <w:sz w:val="20"/>
          <w:szCs w:val="20"/>
          <w:highlight w:val="none"/>
        </w:rPr>
        <w:t>、工程报价单；</w:t>
      </w:r>
    </w:p>
    <w:p w14:paraId="6361B229">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7</w:t>
      </w:r>
      <w:r>
        <w:rPr>
          <w:rFonts w:hint="eastAsia" w:ascii="仿宋" w:hAnsi="仿宋" w:eastAsia="仿宋" w:cs="仿宋"/>
          <w:bCs/>
          <w:sz w:val="20"/>
          <w:szCs w:val="20"/>
          <w:highlight w:val="none"/>
        </w:rPr>
        <w:t>、双方有关工程的洽商、变更等书面协议或文件视为施工合同的组成部分。</w:t>
      </w:r>
    </w:p>
    <w:p w14:paraId="4C718CB0">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第三条  工程期限</w:t>
      </w:r>
    </w:p>
    <w:p w14:paraId="231EFC00">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、工期：</w:t>
      </w:r>
      <w:r>
        <w:rPr>
          <w:rFonts w:hint="eastAsia" w:ascii="仿宋" w:hAnsi="仿宋" w:eastAsia="仿宋" w:cs="仿宋"/>
          <w:bCs/>
          <w:sz w:val="20"/>
          <w:szCs w:val="20"/>
          <w:highlight w:val="none"/>
          <w:lang w:eastAsia="zh-CN"/>
        </w:rPr>
        <w:t>自进场之日起60个日历日内竣工</w:t>
      </w:r>
    </w:p>
    <w:p w14:paraId="4C1BA87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、如遇下列情况，经甲方现场代表签证后，工期可相应顺延（顺延工期应由甲、乙双方共同签字确认）</w:t>
      </w:r>
    </w:p>
    <w:p w14:paraId="224A1BE6">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在施工中如因停电、停水</w:t>
      </w:r>
      <w:r>
        <w:rPr>
          <w:rFonts w:hint="eastAsia" w:ascii="仿宋" w:hAnsi="仿宋" w:eastAsia="仿宋" w:cs="仿宋"/>
          <w:bCs/>
          <w:sz w:val="20"/>
          <w:szCs w:val="20"/>
          <w:highlight w:val="none"/>
          <w:lang w:val="en-US" w:eastAsia="zh-CN"/>
        </w:rPr>
        <w:t>8</w:t>
      </w:r>
      <w:r>
        <w:rPr>
          <w:rFonts w:hint="eastAsia" w:ascii="仿宋" w:hAnsi="仿宋" w:eastAsia="仿宋" w:cs="仿宋"/>
          <w:bCs/>
          <w:sz w:val="20"/>
          <w:szCs w:val="20"/>
          <w:highlight w:val="none"/>
        </w:rPr>
        <w:t>小时以上或连续间歇性停水、停电</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天以上（每次连续</w:t>
      </w: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小时以上），影响正常施工；停水停电2天以上；</w:t>
      </w:r>
    </w:p>
    <w:p w14:paraId="49FBDFB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遇阴雨天及不可抗力因素以及非</w:t>
      </w:r>
      <w:r>
        <w:rPr>
          <w:rFonts w:hint="eastAsia" w:ascii="仿宋" w:hAnsi="仿宋" w:eastAsia="仿宋" w:cs="仿宋"/>
          <w:bCs/>
          <w:sz w:val="20"/>
          <w:szCs w:val="20"/>
          <w:highlight w:val="none"/>
          <w:lang w:val="en-US" w:eastAsia="zh-CN"/>
        </w:rPr>
        <w:t>成交</w:t>
      </w:r>
      <w:r>
        <w:rPr>
          <w:rFonts w:hint="eastAsia" w:ascii="仿宋" w:hAnsi="仿宋" w:eastAsia="仿宋" w:cs="仿宋"/>
          <w:bCs/>
          <w:sz w:val="20"/>
          <w:szCs w:val="20"/>
          <w:highlight w:val="none"/>
        </w:rPr>
        <w:t>人施工因素影响；</w:t>
      </w:r>
    </w:p>
    <w:p w14:paraId="2ED3ECA9">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因人力不可抗拒的其他因素而延误工期。</w:t>
      </w:r>
    </w:p>
    <w:p w14:paraId="5E98293E">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第四条  合同价款、结算及付款方式</w:t>
      </w:r>
    </w:p>
    <w:p w14:paraId="26B1DF0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 xml:space="preserve">1、合同总价：大写人民币____________元； 小写¥___________元；工程量清单报价表详见附件。 </w:t>
      </w:r>
    </w:p>
    <w:p w14:paraId="5CE8E5E1">
      <w:pPr>
        <w:keepNext w:val="0"/>
        <w:keepLines w:val="0"/>
        <w:pageBreakBefore w:val="0"/>
        <w:kinsoku/>
        <w:wordWrap/>
        <w:overflowPunct/>
        <w:topLinePunct w:val="0"/>
        <w:autoSpaceDE/>
        <w:autoSpaceDN/>
        <w:bidi w:val="0"/>
        <w:adjustRightInd/>
        <w:snapToGrid/>
        <w:spacing w:line="360" w:lineRule="auto"/>
        <w:ind w:firstLine="400" w:firstLineChars="200"/>
        <w:jc w:val="left"/>
        <w:textAlignment w:val="auto"/>
        <w:rPr>
          <w:rFonts w:hint="eastAsia" w:asciiTheme="minorEastAsia" w:hAnsiTheme="minorEastAsia" w:eastAsiaTheme="minorEastAsia" w:cstheme="minorEastAsia"/>
          <w:sz w:val="20"/>
          <w:szCs w:val="20"/>
          <w:highlight w:val="none"/>
          <w:lang w:val="en-US" w:eastAsia="zh-CN"/>
        </w:rPr>
      </w:pPr>
      <w:r>
        <w:rPr>
          <w:rFonts w:hint="eastAsia" w:ascii="仿宋" w:hAnsi="仿宋" w:eastAsia="仿宋" w:cs="仿宋"/>
          <w:sz w:val="20"/>
          <w:szCs w:val="20"/>
          <w:highlight w:val="none"/>
          <w:lang w:val="en-US" w:eastAsia="zh-CN"/>
        </w:rPr>
        <w:t>2、本项目为固定总价合同，合同总价不作调整，项目验收后不再结算。合同总价包括：图纸及工程量清单的全部内容，不受市场价变化或实际工作量变化的影响。合同价格为含税价。</w:t>
      </w:r>
    </w:p>
    <w:p w14:paraId="72FDBB7E">
      <w:pPr>
        <w:keepNext w:val="0"/>
        <w:keepLines w:val="0"/>
        <w:pageBreakBefore w:val="0"/>
        <w:numPr>
          <w:ilvl w:val="0"/>
          <w:numId w:val="0"/>
        </w:numPr>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付款方式：</w:t>
      </w:r>
    </w:p>
    <w:p w14:paraId="5BD9CA9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lang w:val="en-US" w:eastAsia="zh-CN"/>
        </w:rPr>
      </w:pPr>
      <w:bookmarkStart w:id="0" w:name="OLE_LINK48"/>
      <w:r>
        <w:rPr>
          <w:rFonts w:hint="eastAsia" w:ascii="仿宋" w:hAnsi="仿宋" w:eastAsia="仿宋" w:cs="仿宋"/>
          <w:bCs/>
          <w:sz w:val="20"/>
          <w:szCs w:val="20"/>
          <w:highlight w:val="none"/>
          <w:lang w:val="en-US" w:eastAsia="zh-CN"/>
        </w:rPr>
        <w:t>工程竣工后并经甲方验收合格，甲方向乙方支付至合同总价的100%。</w:t>
      </w:r>
    </w:p>
    <w:p w14:paraId="0EB87716">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lang w:val="en-US" w:eastAsia="zh-CN"/>
        </w:rPr>
      </w:pPr>
      <w:r>
        <w:rPr>
          <w:rFonts w:hint="eastAsia" w:ascii="仿宋" w:hAnsi="仿宋" w:eastAsia="仿宋" w:cs="仿宋"/>
          <w:bCs/>
          <w:sz w:val="20"/>
          <w:szCs w:val="20"/>
          <w:highlight w:val="none"/>
          <w:lang w:val="en-US" w:eastAsia="zh-CN"/>
        </w:rPr>
        <w:t>付款依据：合同、竞争性磋商文件、竞争性磋商响应文件、工程量确认单、供应商提供的等额发票、甲方出具的验收报告。</w:t>
      </w:r>
    </w:p>
    <w:p w14:paraId="594429D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、合同范围外变更价款调整方式：</w:t>
      </w:r>
    </w:p>
    <w:p w14:paraId="3F051F6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因非乙方原因的工程变更签证，造成增加新的工程量清单项目，其对应的综合单价按下列方法确定。</w:t>
      </w:r>
    </w:p>
    <w:p w14:paraId="5F48C12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1）合同中已有适用的综合单价，按合同中已有的综合单价确定；</w:t>
      </w:r>
    </w:p>
    <w:p w14:paraId="2509F0A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2）合同中有类似的综合单价，参照类似的综合单价确定；</w:t>
      </w:r>
    </w:p>
    <w:p w14:paraId="1443F57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3）合同中没有适用或类似的综合单价，由乙方依据市场价提出综合单价，甲方确认。</w:t>
      </w:r>
    </w:p>
    <w:bookmarkEnd w:id="0"/>
    <w:p w14:paraId="02BAA8AC">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第五条  建筑材料、设备的供应和采购</w:t>
      </w:r>
    </w:p>
    <w:p w14:paraId="6D6DF7AE">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、工程材料、设备由乙方采购。</w:t>
      </w:r>
    </w:p>
    <w:p w14:paraId="545166F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27A320C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、本项目选用的主要工程材料、设备及重要部位的装饰材料，乙方须报送甲方进行审核，甲方对选用的材料设备有认质和选用的决定权。</w:t>
      </w:r>
    </w:p>
    <w:p w14:paraId="55718F83">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Cs/>
          <w:sz w:val="20"/>
          <w:szCs w:val="20"/>
          <w:highlight w:val="none"/>
        </w:rPr>
      </w:pPr>
      <w:r>
        <w:rPr>
          <w:rFonts w:hint="eastAsia" w:ascii="仿宋" w:hAnsi="仿宋" w:eastAsia="仿宋" w:cs="仿宋"/>
          <w:b/>
          <w:bCs w:val="0"/>
          <w:sz w:val="20"/>
          <w:szCs w:val="20"/>
          <w:highlight w:val="none"/>
        </w:rPr>
        <w:t xml:space="preserve">第六条 </w:t>
      </w:r>
      <w:r>
        <w:rPr>
          <w:rFonts w:hint="eastAsia" w:ascii="仿宋" w:hAnsi="仿宋" w:eastAsia="仿宋" w:cs="仿宋"/>
          <w:bCs/>
          <w:sz w:val="20"/>
          <w:szCs w:val="20"/>
          <w:highlight w:val="none"/>
        </w:rPr>
        <w:t xml:space="preserve"> </w:t>
      </w:r>
    </w:p>
    <w:p w14:paraId="4CD6F10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甲方：本项目拟派</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为联系人，联系电话：</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，身份证号：</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w:t>
      </w:r>
    </w:p>
    <w:p w14:paraId="157D5D4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乙方：本项目拟派</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为项联系人，联系电话：</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，身份证号：</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 xml:space="preserve">  </w:t>
      </w:r>
    </w:p>
    <w:p w14:paraId="48AB7714">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第七条  工程质量管理及验收</w:t>
      </w:r>
    </w:p>
    <w:p w14:paraId="02410B4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、工程具备隐蔽条件，乙方先进行自检，并在验收前48小时以书面形式通知甲方验收。验收合格，甲方代表在验收记录上签字后，乙方可继续施工。验收不合格，乙方予以整改后再交由甲方重新验收。</w:t>
      </w:r>
    </w:p>
    <w:p w14:paraId="2796C76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、工程具备竣工验收条件，乙方按国家工程竣工验收有关规定，向甲方提供完整竣工资料及竣工验收报告，甲方组织乙方及相关单位完成竣工验收。</w:t>
      </w:r>
    </w:p>
    <w:p w14:paraId="7C7B796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、符合</w:t>
      </w:r>
      <w:r>
        <w:rPr>
          <w:rFonts w:hint="eastAsia" w:ascii="仿宋" w:hAnsi="仿宋" w:eastAsia="仿宋" w:cs="仿宋"/>
          <w:bCs/>
          <w:sz w:val="20"/>
          <w:szCs w:val="20"/>
          <w:highlight w:val="none"/>
          <w:lang w:val="en-US" w:eastAsia="zh-CN"/>
        </w:rPr>
        <w:t>采购文件</w:t>
      </w:r>
      <w:r>
        <w:rPr>
          <w:rFonts w:hint="eastAsia" w:ascii="仿宋" w:hAnsi="仿宋" w:eastAsia="仿宋" w:cs="仿宋"/>
          <w:bCs/>
          <w:sz w:val="20"/>
          <w:szCs w:val="20"/>
          <w:highlight w:val="none"/>
        </w:rPr>
        <w:t>和国家及行业规定的建筑工程质量检验评定“合格”标准。</w:t>
      </w:r>
    </w:p>
    <w:p w14:paraId="3A724E99">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第八条  安全施工</w:t>
      </w:r>
    </w:p>
    <w:p w14:paraId="07C384DF">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14:paraId="7FC6F283">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第九条  双方的权利和义务</w:t>
      </w:r>
    </w:p>
    <w:p w14:paraId="1A3C96C4">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、甲方的权利与义务</w:t>
      </w:r>
    </w:p>
    <w:p w14:paraId="43FCD5CD">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协助提供施工所需水、电、但具体费用由乙方承担；</w:t>
      </w:r>
    </w:p>
    <w:p w14:paraId="47D12AD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lang w:eastAsia="zh-CN"/>
        </w:rPr>
        <w:t>）甲方负责施工场地的提供，排除施工障碍的协调。</w:t>
      </w:r>
    </w:p>
    <w:p w14:paraId="7CE9D151">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协助切断水、电源、为乙方创造必要的施工条件；</w:t>
      </w:r>
      <w:r>
        <w:rPr>
          <w:rFonts w:hint="eastAsia" w:ascii="仿宋" w:hAnsi="仿宋" w:eastAsia="仿宋" w:cs="仿宋"/>
          <w:bCs/>
          <w:sz w:val="20"/>
          <w:szCs w:val="20"/>
          <w:highlight w:val="none"/>
        </w:rPr>
        <w:tab/>
      </w:r>
    </w:p>
    <w:p w14:paraId="2A5AF3A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按安全文明施工的规定，督促乙方落实安全施工、文明施工措施；</w:t>
      </w:r>
    </w:p>
    <w:p w14:paraId="3382EAC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5</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对</w:t>
      </w:r>
      <w:r>
        <w:rPr>
          <w:rFonts w:hint="eastAsia" w:ascii="仿宋" w:hAnsi="仿宋" w:eastAsia="仿宋" w:cs="仿宋"/>
          <w:bCs/>
          <w:sz w:val="20"/>
          <w:szCs w:val="20"/>
          <w:highlight w:val="none"/>
          <w:lang w:val="en-US" w:eastAsia="zh-CN"/>
        </w:rPr>
        <w:t>乙方</w:t>
      </w:r>
      <w:r>
        <w:rPr>
          <w:rFonts w:hint="eastAsia" w:ascii="仿宋" w:hAnsi="仿宋" w:eastAsia="仿宋" w:cs="仿宋"/>
          <w:bCs/>
          <w:sz w:val="20"/>
          <w:szCs w:val="20"/>
          <w:highlight w:val="none"/>
        </w:rPr>
        <w:t>工作提出指导性建议或意见促使施工顺利进行；</w:t>
      </w:r>
    </w:p>
    <w:p w14:paraId="4E642945">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6</w:t>
      </w:r>
      <w:r>
        <w:rPr>
          <w:rFonts w:hint="eastAsia" w:ascii="仿宋" w:hAnsi="仿宋" w:eastAsia="仿宋" w:cs="仿宋"/>
          <w:bCs/>
          <w:sz w:val="20"/>
          <w:szCs w:val="20"/>
          <w:highlight w:val="none"/>
          <w:lang w:eastAsia="zh-CN"/>
        </w:rPr>
        <w:t>）对工程进度、质量进行监督检查。</w:t>
      </w:r>
      <w:r>
        <w:rPr>
          <w:rFonts w:hint="eastAsia" w:ascii="仿宋" w:hAnsi="仿宋" w:eastAsia="仿宋" w:cs="仿宋"/>
          <w:bCs/>
          <w:sz w:val="20"/>
          <w:szCs w:val="20"/>
          <w:highlight w:val="none"/>
        </w:rPr>
        <w:t>；</w:t>
      </w:r>
    </w:p>
    <w:p w14:paraId="354B8129">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7</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负责组织相关力量对本工程工作进行验收</w:t>
      </w:r>
    </w:p>
    <w:p w14:paraId="4E406C5E">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8</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做好公安、城管、工商等相关部门的协调工作，保证施工顺利进行；</w:t>
      </w:r>
    </w:p>
    <w:p w14:paraId="63FAED01">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9</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按约定支付工程款并索取相应的发票；</w:t>
      </w:r>
    </w:p>
    <w:p w14:paraId="69091EC4">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、乙方的权利与义务</w:t>
      </w:r>
    </w:p>
    <w:p w14:paraId="28070BB7">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乙方应设置</w:t>
      </w:r>
      <w:r>
        <w:rPr>
          <w:rFonts w:hint="eastAsia" w:ascii="仿宋" w:hAnsi="仿宋" w:eastAsia="仿宋" w:cs="仿宋"/>
          <w:bCs/>
          <w:sz w:val="20"/>
          <w:szCs w:val="20"/>
          <w:highlight w:val="none"/>
          <w:lang w:val="en-US" w:eastAsia="zh-CN"/>
        </w:rPr>
        <w:t>施工</w:t>
      </w:r>
      <w:r>
        <w:rPr>
          <w:rFonts w:hint="eastAsia" w:ascii="仿宋" w:hAnsi="仿宋" w:eastAsia="仿宋" w:cs="仿宋"/>
          <w:bCs/>
          <w:sz w:val="20"/>
          <w:szCs w:val="20"/>
          <w:highlight w:val="none"/>
        </w:rPr>
        <w:t>过程中必要的办公场所，并保证所有参与上述工作的人员必须统一着装，配挂“工作人员”胸牌;</w:t>
      </w:r>
    </w:p>
    <w:p w14:paraId="3146858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每日向甲方提供进度计划，统计报表和工程事故报告，遵守有关部门对施工场地、交通、噪音等的管理规定;</w:t>
      </w:r>
    </w:p>
    <w:p w14:paraId="1FDC926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保证施工现场清洁，负责人行道路维护工作;</w:t>
      </w:r>
    </w:p>
    <w:p w14:paraId="5721F4F4">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负责工程安全文明施工、承担一切风险，满足甲方工程的需要。保证甲方正式投入使用，再无其他费用发生。;</w:t>
      </w:r>
    </w:p>
    <w:p w14:paraId="2F2FB5DE">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5</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遵守安全防护和文明施工的规定，建立健全安全防护和文明施工的制度，设专职安全员，负责维护施工现场安全，做到安全文明施工等;</w:t>
      </w:r>
    </w:p>
    <w:p w14:paraId="575FC70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6</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完善安全防护和文明施工条件，施工机械、设备须附检验报告,严格按照安全防护和文明施工的规定组织施工，采取必要的安全防护措施，消除安全事故隐患;</w:t>
      </w:r>
    </w:p>
    <w:p w14:paraId="7527A11D">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7</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6FC75966">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8</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按约定收取工程款并出具相应的发票;</w:t>
      </w:r>
    </w:p>
    <w:p w14:paraId="4D47267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9</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工作人员应服从甲方的领导、监督和管理，遵守工作制度和纪律，依法完成工作内容;</w:t>
      </w:r>
    </w:p>
    <w:p w14:paraId="77014860">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10</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施工过程中发生的各种不安全事故或人员伤亡，造成的责任、费用等由乙方完全承担;</w:t>
      </w:r>
    </w:p>
    <w:p w14:paraId="2827E270">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指派专职项目经理负责联系和处理工作的有关事项，参加协调会，协调合同执行过程中遇到的问题，并配备专职安全员每日巡视现场，安全员必须持证上岗;</w:t>
      </w:r>
    </w:p>
    <w:p w14:paraId="59703133">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12</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乙方应严格执行市建尘治发【2017】3号文，西安市建设工地扬尘污染防治专项工作组关于印发西安市建设工地和两类企业扬尘污染防治措施的通知，西安市水利建设工地扬尘污染防治措施，扬尘污染防治应达到文件要求的达到6个百分百，7个到位。如不能达到相关标准则甲方结算时将对相应的相关费用予以扣除。</w:t>
      </w:r>
    </w:p>
    <w:p w14:paraId="2451E29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13</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w:t>
      </w:r>
    </w:p>
    <w:p w14:paraId="6C50789B">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14</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及时向甲方以书面形式汇报工程量及安全情况;</w:t>
      </w:r>
    </w:p>
    <w:p w14:paraId="7323A3F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15</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完成甲方交办的与工程范围内有关的其它临时性工作。</w:t>
      </w:r>
    </w:p>
    <w:p w14:paraId="6C96E7E7">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第十条</w:t>
      </w:r>
      <w:r>
        <w:rPr>
          <w:rFonts w:hint="eastAsia" w:ascii="仿宋" w:hAnsi="仿宋" w:eastAsia="仿宋" w:cs="仿宋"/>
          <w:b/>
          <w:bCs w:val="0"/>
          <w:sz w:val="20"/>
          <w:szCs w:val="20"/>
          <w:highlight w:val="none"/>
          <w:lang w:val="en-US" w:eastAsia="zh-CN"/>
        </w:rPr>
        <w:t xml:space="preserve">  </w:t>
      </w:r>
      <w:r>
        <w:rPr>
          <w:rFonts w:hint="eastAsia" w:ascii="仿宋" w:hAnsi="仿宋" w:eastAsia="仿宋" w:cs="仿宋"/>
          <w:b/>
          <w:bCs w:val="0"/>
          <w:sz w:val="20"/>
          <w:szCs w:val="20"/>
          <w:highlight w:val="none"/>
        </w:rPr>
        <w:t>违约责任</w:t>
      </w:r>
    </w:p>
    <w:p w14:paraId="75D7C450">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乙方未能按时竣工的，每延期一日应按结算总价款的3‰／天向甲方支付违约金（甲方有权从未支付款项中扣除）；无故延期15日以上视为根本性违约，甲方有权解除本合同，乙方除应全额退还甲方已支付的工程款外，还应向甲方支付违约金。</w:t>
      </w:r>
    </w:p>
    <w:p w14:paraId="55A3F685">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2、工程出现质量问题视为乙方严重违约，视情节轻重乙方应按工程款的10%-30%向甲方支付违约金（甲方有权从未支付款项中扣除），此外应赔偿因此给甲方造成的损失。</w:t>
      </w:r>
    </w:p>
    <w:p w14:paraId="160FFBFD">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3、乙方擅自解除或终止本合同的，乙方应按结算总价款的20%向甲方支付违约金。</w:t>
      </w:r>
    </w:p>
    <w:p w14:paraId="77175B87">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lang w:val="en-US" w:eastAsia="zh-CN"/>
        </w:rPr>
      </w:pPr>
      <w:r>
        <w:rPr>
          <w:rFonts w:hint="eastAsia" w:ascii="仿宋" w:hAnsi="仿宋" w:eastAsia="仿宋" w:cs="仿宋"/>
          <w:b/>
          <w:bCs w:val="0"/>
          <w:sz w:val="20"/>
          <w:szCs w:val="20"/>
          <w:highlight w:val="none"/>
        </w:rPr>
        <w:t>第十一条</w:t>
      </w:r>
      <w:r>
        <w:rPr>
          <w:rFonts w:hint="eastAsia" w:ascii="仿宋" w:hAnsi="仿宋" w:eastAsia="仿宋" w:cs="仿宋"/>
          <w:b/>
          <w:bCs w:val="0"/>
          <w:sz w:val="20"/>
          <w:szCs w:val="20"/>
          <w:highlight w:val="none"/>
          <w:lang w:val="en-US" w:eastAsia="zh-CN"/>
        </w:rPr>
        <w:t xml:space="preserve">  </w:t>
      </w:r>
      <w:r>
        <w:rPr>
          <w:rFonts w:hint="eastAsia" w:ascii="仿宋" w:hAnsi="仿宋" w:eastAsia="仿宋" w:cs="仿宋"/>
          <w:b/>
          <w:bCs w:val="0"/>
          <w:sz w:val="20"/>
          <w:szCs w:val="20"/>
          <w:highlight w:val="none"/>
        </w:rPr>
        <w:t>纠纷解决办法</w:t>
      </w:r>
    </w:p>
    <w:p w14:paraId="183BCCD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因本合同产生纠纷，如协商无法解决，双方均有权向甲方所在地人民法院提起诉讼。</w:t>
      </w:r>
    </w:p>
    <w:p w14:paraId="71BE34C5">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第十二条  监督和管理</w:t>
      </w:r>
    </w:p>
    <w:p w14:paraId="26A7B242">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84AE8F1">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2、甲乙双方均应自觉配合有关监督管理部门对合同履行情况的监督检查，如实反映情况，提供有关资料；否则，将对有关单位、当事人按照有关规定予以处罚。</w:t>
      </w:r>
    </w:p>
    <w:p w14:paraId="2D1D5FAF">
      <w:pPr>
        <w:keepNext w:val="0"/>
        <w:keepLines w:val="0"/>
        <w:pageBreakBefore w:val="0"/>
        <w:kinsoku/>
        <w:overflowPunct/>
        <w:topLinePunct w:val="0"/>
        <w:autoSpaceDE/>
        <w:autoSpaceDN/>
        <w:bidi w:val="0"/>
        <w:adjustRightInd/>
        <w:snapToGrid/>
        <w:spacing w:beforeAutospacing="0" w:afterAutospacing="0"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第十三条  附  则</w:t>
      </w:r>
    </w:p>
    <w:p w14:paraId="77FD7A8E">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1</w:t>
      </w:r>
      <w:r>
        <w:rPr>
          <w:rFonts w:hint="eastAsia" w:ascii="仿宋" w:hAnsi="仿宋" w:eastAsia="仿宋" w:cs="仿宋"/>
          <w:bCs/>
          <w:sz w:val="20"/>
          <w:szCs w:val="20"/>
          <w:highlight w:val="none"/>
        </w:rPr>
        <w:t>、甲方代表为___________，乙方代表为___________。</w:t>
      </w:r>
    </w:p>
    <w:p w14:paraId="40C5F858">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、本合同一式陆份,甲乙双方各执</w:t>
      </w:r>
      <w:r>
        <w:rPr>
          <w:rFonts w:hint="eastAsia" w:ascii="仿宋" w:hAnsi="仿宋" w:eastAsia="仿宋" w:cs="仿宋"/>
          <w:bCs/>
          <w:sz w:val="20"/>
          <w:szCs w:val="20"/>
          <w:highlight w:val="none"/>
          <w:lang w:val="en-US" w:eastAsia="zh-CN"/>
        </w:rPr>
        <w:t>叁</w:t>
      </w:r>
      <w:r>
        <w:rPr>
          <w:rFonts w:hint="eastAsia" w:ascii="仿宋" w:hAnsi="仿宋" w:eastAsia="仿宋" w:cs="仿宋"/>
          <w:bCs/>
          <w:sz w:val="20"/>
          <w:szCs w:val="20"/>
          <w:highlight w:val="none"/>
        </w:rPr>
        <w:t>份</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rPr>
        <w:t>自双方代表签字，加盖双方公章或合同专用章后生效。</w:t>
      </w:r>
    </w:p>
    <w:p w14:paraId="104A7D8C">
      <w:pPr>
        <w:keepNext w:val="0"/>
        <w:keepLines w:val="0"/>
        <w:pageBreakBefore w:val="0"/>
        <w:kinsoku/>
        <w:overflowPunct/>
        <w:topLinePunct w:val="0"/>
        <w:autoSpaceDE/>
        <w:autoSpaceDN/>
        <w:bidi w:val="0"/>
        <w:adjustRightInd/>
        <w:snapToGrid/>
        <w:spacing w:beforeAutospacing="0" w:afterAutospacing="0" w:line="360" w:lineRule="auto"/>
        <w:ind w:firstLine="400" w:firstLineChars="200"/>
        <w:textAlignment w:val="auto"/>
        <w:rPr>
          <w:rFonts w:hint="eastAsia" w:ascii="仿宋" w:hAnsi="仿宋" w:eastAsia="仿宋" w:cs="仿宋"/>
          <w:bCs/>
          <w:sz w:val="20"/>
          <w:szCs w:val="20"/>
          <w:highlight w:val="none"/>
          <w:lang w:val="en-US" w:eastAsia="zh-CN"/>
        </w:rPr>
      </w:pPr>
      <w:r>
        <w:rPr>
          <w:rFonts w:hint="eastAsia" w:ascii="仿宋" w:hAnsi="仿宋" w:eastAsia="仿宋" w:cs="仿宋"/>
          <w:bCs/>
          <w:sz w:val="20"/>
          <w:szCs w:val="20"/>
          <w:highlight w:val="none"/>
          <w:lang w:val="en-US" w:eastAsia="zh-CN"/>
        </w:rPr>
        <w:t>以下无正文。</w:t>
      </w:r>
    </w:p>
    <w:p w14:paraId="25DAB172">
      <w:pPr>
        <w:spacing w:line="360" w:lineRule="auto"/>
        <w:ind w:firstLine="400" w:firstLineChars="200"/>
        <w:rPr>
          <w:rFonts w:hint="eastAsia" w:ascii="仿宋" w:hAnsi="仿宋" w:eastAsia="仿宋" w:cs="仿宋"/>
          <w:bCs/>
          <w:sz w:val="20"/>
          <w:szCs w:val="20"/>
          <w:highlight w:val="none"/>
          <w:u w:val="single"/>
        </w:rPr>
      </w:pPr>
      <w:r>
        <w:rPr>
          <w:rFonts w:hint="eastAsia" w:ascii="仿宋" w:hAnsi="仿宋" w:eastAsia="仿宋" w:cs="仿宋"/>
          <w:bCs/>
          <w:sz w:val="20"/>
          <w:szCs w:val="20"/>
          <w:highlight w:val="none"/>
        </w:rPr>
        <w:t>采购人：_________________（公章）</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供应商：____________（公章）</w:t>
      </w:r>
    </w:p>
    <w:p w14:paraId="2465A5B6">
      <w:pPr>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地  址：</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 xml:space="preserve"> 地  址：____________________</w:t>
      </w:r>
    </w:p>
    <w:p w14:paraId="4EC58ACA">
      <w:pPr>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邮政编码：</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邮政编码：__________________</w:t>
      </w:r>
    </w:p>
    <w:p w14:paraId="28355442">
      <w:pPr>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法定代表人：</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 xml:space="preserve"> 法定代表人：________________</w:t>
      </w:r>
    </w:p>
    <w:p w14:paraId="4D83BCBB">
      <w:pPr>
        <w:spacing w:line="360" w:lineRule="auto"/>
        <w:ind w:firstLine="400" w:firstLineChars="200"/>
        <w:rPr>
          <w:rFonts w:hint="eastAsia" w:ascii="仿宋" w:hAnsi="仿宋" w:eastAsia="仿宋" w:cs="仿宋"/>
          <w:bCs/>
          <w:sz w:val="20"/>
          <w:szCs w:val="20"/>
          <w:highlight w:val="none"/>
          <w:u w:val="single"/>
        </w:rPr>
      </w:pPr>
      <w:r>
        <w:rPr>
          <w:rFonts w:hint="eastAsia" w:ascii="仿宋" w:hAnsi="仿宋" w:eastAsia="仿宋" w:cs="仿宋"/>
          <w:bCs/>
          <w:sz w:val="20"/>
          <w:szCs w:val="20"/>
          <w:highlight w:val="none"/>
        </w:rPr>
        <w:t>委托代理人：</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委托代理人：________________</w:t>
      </w:r>
    </w:p>
    <w:p w14:paraId="31770FEF">
      <w:pPr>
        <w:spacing w:line="360" w:lineRule="auto"/>
        <w:ind w:firstLine="400" w:firstLineChars="200"/>
        <w:rPr>
          <w:rFonts w:hint="eastAsia" w:ascii="仿宋" w:hAnsi="仿宋" w:eastAsia="仿宋" w:cs="仿宋"/>
          <w:bCs/>
          <w:sz w:val="20"/>
          <w:szCs w:val="20"/>
          <w:highlight w:val="none"/>
          <w:u w:val="single"/>
        </w:rPr>
      </w:pPr>
      <w:r>
        <w:rPr>
          <w:rFonts w:hint="eastAsia" w:ascii="仿宋" w:hAnsi="仿宋" w:eastAsia="仿宋" w:cs="仿宋"/>
          <w:bCs/>
          <w:sz w:val="20"/>
          <w:szCs w:val="20"/>
          <w:highlight w:val="none"/>
        </w:rPr>
        <w:t>电    话：</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电    话：__________________</w:t>
      </w:r>
    </w:p>
    <w:p w14:paraId="0CB90F6C">
      <w:pPr>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传    真：</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 xml:space="preserve"> 传    真：__________________</w:t>
      </w:r>
    </w:p>
    <w:p w14:paraId="2E31D086">
      <w:pPr>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开户银行：</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开户银行：__________________</w:t>
      </w:r>
    </w:p>
    <w:p w14:paraId="4EBD27EA">
      <w:pPr>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帐    号：</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 xml:space="preserve">  </w:t>
      </w:r>
      <w:r>
        <w:rPr>
          <w:rFonts w:hint="eastAsia" w:ascii="仿宋" w:hAnsi="仿宋" w:eastAsia="仿宋" w:cs="仿宋"/>
          <w:bCs/>
          <w:sz w:val="20"/>
          <w:szCs w:val="20"/>
          <w:highlight w:val="none"/>
          <w:lang w:val="en-US" w:eastAsia="zh-CN"/>
        </w:rPr>
        <w:t xml:space="preserve">     </w:t>
      </w:r>
      <w:r>
        <w:rPr>
          <w:rFonts w:hint="eastAsia" w:ascii="仿宋" w:hAnsi="仿宋" w:eastAsia="仿宋" w:cs="仿宋"/>
          <w:bCs/>
          <w:sz w:val="20"/>
          <w:szCs w:val="20"/>
          <w:highlight w:val="none"/>
        </w:rPr>
        <w:t>帐    号：__________________</w:t>
      </w:r>
    </w:p>
    <w:p w14:paraId="53039B5F">
      <w:pPr>
        <w:rPr>
          <w:rFonts w:hint="eastAsia" w:ascii="仿宋" w:hAnsi="仿宋" w:eastAsia="仿宋" w:cs="仿宋"/>
          <w:bCs/>
          <w:sz w:val="20"/>
          <w:szCs w:val="20"/>
          <w:highlight w:val="none"/>
        </w:rPr>
      </w:pPr>
      <w:r>
        <w:rPr>
          <w:rFonts w:hint="eastAsia" w:ascii="仿宋" w:hAnsi="仿宋" w:eastAsia="仿宋" w:cs="仿宋"/>
          <w:bCs/>
          <w:sz w:val="20"/>
          <w:szCs w:val="20"/>
          <w:highlight w:val="none"/>
        </w:rPr>
        <w:br w:type="page"/>
      </w:r>
    </w:p>
    <w:p w14:paraId="27C297EB">
      <w:pPr>
        <w:bidi w:val="0"/>
        <w:jc w:val="left"/>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附件：工程量清单报价表</w:t>
      </w:r>
    </w:p>
    <w:p w14:paraId="1F2EE8E5">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51CDC">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9185E2">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49185E2">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E84C94"/>
    <w:rsid w:val="2FE84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spacing w:line="567" w:lineRule="exact"/>
      <w:ind w:left="2121"/>
      <w:jc w:val="center"/>
      <w:outlineLvl w:val="1"/>
    </w:pPr>
    <w:rPr>
      <w:rFonts w:ascii="Microsoft JhengHei" w:hAnsi="Microsoft JhengHei" w:eastAsia="Microsoft JhengHei" w:cs="Microsoft JhengHei"/>
      <w:b/>
      <w:bCs/>
      <w:sz w:val="36"/>
      <w:szCs w:val="36"/>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2"/>
    <w:basedOn w:val="1"/>
    <w:qFormat/>
    <w:uiPriority w:val="0"/>
    <w:pPr>
      <w:spacing w:after="120" w:line="480" w:lineRule="auto"/>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2025-07-30T10:25:00Z</dcterms:created>
  <dc:creator>W</dc:creator>
  <cp:lastModifiedBy>W</cp:lastModifiedBy>
  <dcterms:modified xsi:type="dcterms:W3CDTF">2025-07-30T10:26:41Z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6BB15A181ACA4F18A61E586EFDB6B581_11</vt:lpwstr>
  </property>
  <property fmtid="{D5CDD505-2E9C-101B-9397-08002B2CF9AE}" pid="4" name="KSOTemplateDocerSaveRecord">
    <vt:lpwstr>eyJoZGlkIjoiOGQxZDQyYjEzNTMyMmM2MjRlM2NjM2ExN2I0YjhmNzciLCJ1c2VySWQiOiI0MTA1MzM4NDYifQ==</vt:lpwstr>
  </property>
</Properties>
</file>