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版本号：CGZC2025-101、SCZC2025-CS-1629-00120250704001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西安市浐灞国际港第四初级中学校园文化建设项目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CGZC2025-101、SCZC2025-CS-1629-001</w:t>
      </w:r>
      <w:r>
        <w:br/>
      </w:r>
      <w:r>
        <w:br/>
      </w:r>
      <w:r>
        <w:br/>
      </w:r>
    </w:p>
    <w:p>
      <w:pPr>
        <w:pStyle w:val="null3"/>
        <w:jc w:val="center"/>
        <w:outlineLvl w:val="2"/>
      </w:pPr>
      <w:r>
        <w:rPr>
          <w:rFonts w:ascii="仿宋_GB2312" w:hAnsi="仿宋_GB2312" w:cs="仿宋_GB2312" w:eastAsia="仿宋_GB2312"/>
          <w:sz w:val="28"/>
          <w:b/>
        </w:rPr>
        <w:t>西安浐灞国际港教育局</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西安浐灞国际港教育局</w:t>
      </w:r>
      <w:r>
        <w:rPr>
          <w:rFonts w:ascii="仿宋_GB2312" w:hAnsi="仿宋_GB2312" w:cs="仿宋_GB2312" w:eastAsia="仿宋_GB2312"/>
        </w:rPr>
        <w:t>委托，拟对</w:t>
      </w:r>
      <w:r>
        <w:rPr>
          <w:rFonts w:ascii="仿宋_GB2312" w:hAnsi="仿宋_GB2312" w:cs="仿宋_GB2312" w:eastAsia="仿宋_GB2312"/>
        </w:rPr>
        <w:t>西安市浐灞国际港第四初级中学校园文化建设项目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CGZC2025-101、SCZC2025-CS-1629-001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西安市浐灞国际港第四初级中学校园文化建设项目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本项目主要采购各类展示牌、文化形象墙、立体发光字、景观、装饰等内容。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采购包1（西安市浐灞国际港第四初级中学校园文化建设项目）：属于专门面向中小企业采购。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文件：法定代表人或单位负责人参加磋商的，应提供法定代表人或单位负责人身份证明；授权代表参加磋商的，应提供法定代表人或单位负责人身份证明、授权委托书及授权代表在本单位缴纳养老保险的证明。</w:t>
      </w:r>
    </w:p>
    <w:p>
      <w:pPr>
        <w:pStyle w:val="null3"/>
      </w:pPr>
      <w:r>
        <w:rPr>
          <w:rFonts w:ascii="仿宋_GB2312" w:hAnsi="仿宋_GB2312" w:cs="仿宋_GB2312" w:eastAsia="仿宋_GB2312"/>
        </w:rPr>
        <w:t>2、信用查询：供应商在递交响应文件截止时间前被“信用中国”网站（www.creditchina.gov.cn）和中国政府采购网（www.ccgp.gov.cn）上列入失信被执行人、重大税收违法失信主体、政府采购严重违法失信行为记录名单的，不得参加磋商。</w:t>
      </w:r>
    </w:p>
    <w:p>
      <w:pPr>
        <w:pStyle w:val="null3"/>
      </w:pPr>
      <w:r>
        <w:rPr>
          <w:rFonts w:ascii="仿宋_GB2312" w:hAnsi="仿宋_GB2312" w:cs="仿宋_GB2312" w:eastAsia="仿宋_GB2312"/>
        </w:rPr>
        <w:t>3、供应商资格：供应商具备建筑装修装饰工程专业承包二级及以上资质且具有有效的安全生产许可证。</w:t>
      </w:r>
    </w:p>
    <w:p>
      <w:pPr>
        <w:pStyle w:val="null3"/>
      </w:pPr>
      <w:r>
        <w:rPr>
          <w:rFonts w:ascii="仿宋_GB2312" w:hAnsi="仿宋_GB2312" w:cs="仿宋_GB2312" w:eastAsia="仿宋_GB2312"/>
        </w:rPr>
        <w:t>4、项目经理：拟派项目经理具备建筑工程专业二级及以上注册建造师执业资格及安全生产考核合格证（安全B 证），且未担任其它在建工程的项目经理。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西安浐灞国际港教育局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西安浐灞国际港浐灞大道一号浐灞商务中心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029-83592327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李峻豪、王莉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029-85257505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侯老师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的计算方法收取，代理服务费包含在供应商的报价中，无需单独列项。成交单位的代理服务费交纳信息：银行户名：陕西省采购招标有限责任公司、开户银行：中国光大银行西安友谊路支行、账 号：78560188000095264、联系人：财务部、联系电话：029-85263975</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西安浐灞国际港教育局</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西安浐灞国际港教育局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西安浐灞国际港教育局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地址：西安市高新区锦业路1号都市之门C座9层综合办公室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840,000.00</w:t>
      </w:r>
    </w:p>
    <w:p>
      <w:pPr>
        <w:pStyle w:val="null3"/>
      </w:pPr>
      <w:r>
        <w:rPr>
          <w:rFonts w:ascii="仿宋_GB2312" w:hAnsi="仿宋_GB2312" w:cs="仿宋_GB2312" w:eastAsia="仿宋_GB2312"/>
        </w:rPr>
        <w:t>采购包最高限价（元）: 735,236.10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西安市浐灞国际港第四初级中学校园文化建设项目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840,000.00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标的名称：西安市浐灞国际港第四初级中学校园文化建设项目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详见建设项目清单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详见合同文本</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供应商需在项目电子化交易系统中按要求填写《响应函》完成承诺，提交相应资格证明文件并进行电子签章。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提供（1）或提供（2）：（1）提供2024年度财务报表复印件，应满足以下要求：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②供应商适用《事业单位会计准则》的，财务报表是指上述指定年度整个会计年度财务报表（不要求必须是经审计的），复印件至少须包括资产负债表、收入支出表（或收入费用表）、财政补助收入支出表。 ③供应商适用《政府会计准则》的，财务报表是指上述指定年度整个会计年度财务报表（不要求必须是经审计的），复印件至少须包括资产负债表、收入费用表。 ④供应商适用《民间非营利组织会计制度》的，财务报表是指上述指定年度整个会计年度财务报表（不要求必须是经审计的），复印件至少须包括资产负债表、业务活动表、现金流量表。 ⑤供应商是上述四种情况以外情况的，按照其依法适用的会计制度、财务规则或会计准则提供 财务报表复印件（不要求必须是经审计的）。 （2）提供资信证明原件扫描件或复印件，应满足以下要求： ①资信证明须为递交投标文件截止时间前三个月内由供应商开户银行出具。 ②无论开具银行是否标明“复印无效”，供应商提供的复印件在本次投标中予以认可（即不因“复印无效”字样而认定资信证明复印件无效）。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法定代表人或单位负责人参加磋商的，应提供法定代表人或单位负责人身份证明；授权代表参加磋商的，应提供法定代表人或单位负责人身份证明、授权委托书及授权代表在本单位缴纳养老保险的证明。</w:t>
            </w:r>
          </w:p>
        </w:tc>
        <w:tc>
          <w:tcPr>
            <w:tcW w:type="dxa" w:w="1661"/>
          </w:tcPr>
          <w:p>
            <w:pPr>
              <w:pStyle w:val="null3"/>
            </w:pPr>
            <w:r>
              <w:rPr>
                <w:rFonts w:ascii="仿宋_GB2312" w:hAnsi="仿宋_GB2312" w:cs="仿宋_GB2312" w:eastAsia="仿宋_GB2312"/>
              </w:rPr>
              <w:t>身份证明文件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w:t>
            </w:r>
          </w:p>
        </w:tc>
        <w:tc>
          <w:tcPr>
            <w:tcW w:type="dxa" w:w="3322"/>
          </w:tcPr>
          <w:p>
            <w:pPr>
              <w:pStyle w:val="null3"/>
            </w:pPr>
            <w:r>
              <w:rPr>
                <w:rFonts w:ascii="仿宋_GB2312" w:hAnsi="仿宋_GB2312" w:cs="仿宋_GB2312" w:eastAsia="仿宋_GB2312"/>
              </w:rPr>
              <w:t>供应商具备建筑装修装饰工程专业承包二级及以上资质且具有有效的安全生产许可证。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拟派项目经理具备建筑工程专业二级及以上注册建造师执业资格及安全生产考核合格证（安全B 证），且未担任其它在建工程的项目经理。</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按磋商文件格式要求加盖了供应商公章和有法定代表人或其委托代理人签字或加盖人名章。</w:t>
            </w:r>
          </w:p>
        </w:tc>
        <w:tc>
          <w:tcPr>
            <w:tcW w:type="dxa" w:w="1661"/>
          </w:tcPr>
          <w:p>
            <w:pPr>
              <w:pStyle w:val="null3"/>
            </w:pPr>
            <w:r>
              <w:rPr>
                <w:rFonts w:ascii="仿宋_GB2312" w:hAnsi="仿宋_GB2312" w:cs="仿宋_GB2312" w:eastAsia="仿宋_GB2312"/>
              </w:rPr>
              <w:t>响应文件封面 报价函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供应商报价是固定价且未超过预算金额（磋商文件有最高限价的，报价未超过最高限价）</w:t>
            </w:r>
          </w:p>
        </w:tc>
        <w:tc>
          <w:tcPr>
            <w:tcW w:type="dxa" w:w="1661"/>
          </w:tcPr>
          <w:p>
            <w:pPr>
              <w:pStyle w:val="null3"/>
            </w:pPr>
            <w:r>
              <w:rPr>
                <w:rFonts w:ascii="仿宋_GB2312" w:hAnsi="仿宋_GB2312" w:cs="仿宋_GB2312" w:eastAsia="仿宋_GB2312"/>
              </w:rPr>
              <w:t>分项报价表 报价函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工期不得出现负偏离</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不存在其它不符合法律法规或采购文件规定的响应无效条款</w:t>
            </w:r>
          </w:p>
        </w:tc>
        <w:tc>
          <w:tcPr>
            <w:tcW w:type="dxa" w:w="1661"/>
          </w:tcPr>
          <w:p>
            <w:pPr>
              <w:pStyle w:val="null3"/>
            </w:pPr>
            <w:r>
              <w:rPr>
                <w:rFonts w:ascii="仿宋_GB2312" w:hAnsi="仿宋_GB2312" w:cs="仿宋_GB2312" w:eastAsia="仿宋_GB2312"/>
              </w:rPr>
              <w:t>响应文件封面 技术、商务要求偏离表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施工组织设计1</w:t>
            </w:r>
          </w:p>
        </w:tc>
        <w:tc>
          <w:tcPr>
            <w:tcW w:type="dxa" w:w="2492"/>
          </w:tcPr>
          <w:p>
            <w:pPr>
              <w:pStyle w:val="null3"/>
            </w:pPr>
            <w:r>
              <w:rPr>
                <w:rFonts w:ascii="仿宋_GB2312" w:hAnsi="仿宋_GB2312" w:cs="仿宋_GB2312" w:eastAsia="仿宋_GB2312"/>
              </w:rPr>
              <w:t>制作安装方案及技术措施：方案合理、技术措施得当、阐述条理清晰详尽、符合本项目要求的得10.0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施工组织设计2</w:t>
            </w:r>
          </w:p>
        </w:tc>
        <w:tc>
          <w:tcPr>
            <w:tcW w:type="dxa" w:w="2492"/>
          </w:tcPr>
          <w:p>
            <w:pPr>
              <w:pStyle w:val="null3"/>
            </w:pPr>
            <w:r>
              <w:rPr>
                <w:rFonts w:ascii="仿宋_GB2312" w:hAnsi="仿宋_GB2312" w:cs="仿宋_GB2312" w:eastAsia="仿宋_GB2312"/>
              </w:rPr>
              <w:t>确保产品质量的技术组织措施：质量管理体系完善，技术组织措施合理、可行、阐述条理清晰详尽、符合本项目要求的得5.0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施工组织设计3</w:t>
            </w:r>
          </w:p>
        </w:tc>
        <w:tc>
          <w:tcPr>
            <w:tcW w:type="dxa" w:w="2492"/>
          </w:tcPr>
          <w:p>
            <w:pPr>
              <w:pStyle w:val="null3"/>
            </w:pPr>
            <w:r>
              <w:rPr>
                <w:rFonts w:ascii="仿宋_GB2312" w:hAnsi="仿宋_GB2312" w:cs="仿宋_GB2312" w:eastAsia="仿宋_GB2312"/>
              </w:rPr>
              <w:t>确保安全生产的技术组织措施：安全管理体系健全，保证措施合理、可行、阐述条理清晰详尽、符合本项目要求的得5.0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施工组织设计4</w:t>
            </w:r>
          </w:p>
        </w:tc>
        <w:tc>
          <w:tcPr>
            <w:tcW w:type="dxa" w:w="2492"/>
          </w:tcPr>
          <w:p>
            <w:pPr>
              <w:pStyle w:val="null3"/>
            </w:pPr>
            <w:r>
              <w:rPr>
                <w:rFonts w:ascii="仿宋_GB2312" w:hAnsi="仿宋_GB2312" w:cs="仿宋_GB2312" w:eastAsia="仿宋_GB2312"/>
              </w:rPr>
              <w:t>文明施工、环境保护措施、施工现场扬尘污染防治措施：各项措施合理、保障有力、阐述条理清晰详尽、符合本项目要求的得5.0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施工组织设计5</w:t>
            </w:r>
          </w:p>
        </w:tc>
        <w:tc>
          <w:tcPr>
            <w:tcW w:type="dxa" w:w="2492"/>
          </w:tcPr>
          <w:p>
            <w:pPr>
              <w:pStyle w:val="null3"/>
            </w:pPr>
            <w:r>
              <w:rPr>
                <w:rFonts w:ascii="仿宋_GB2312" w:hAnsi="仿宋_GB2312" w:cs="仿宋_GB2312" w:eastAsia="仿宋_GB2312"/>
              </w:rPr>
              <w:t>安装进度计划及保证措施：具有明确的施工进度表，进度计划合理、保证措施有力、阐述条理清晰详尽、符合本项目要求的得5.0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施工组织设计6</w:t>
            </w:r>
          </w:p>
        </w:tc>
        <w:tc>
          <w:tcPr>
            <w:tcW w:type="dxa" w:w="2492"/>
          </w:tcPr>
          <w:p>
            <w:pPr>
              <w:pStyle w:val="null3"/>
            </w:pPr>
            <w:r>
              <w:rPr>
                <w:rFonts w:ascii="仿宋_GB2312" w:hAnsi="仿宋_GB2312" w:cs="仿宋_GB2312" w:eastAsia="仿宋_GB2312"/>
              </w:rPr>
              <w:t>安装机械配备和材料投入计划：施工现场机械配备和材料投入计划合理，符合施工实际需求、阐述条理清晰详尽、符合本项目要求的得5.0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施工组织设计7</w:t>
            </w:r>
          </w:p>
        </w:tc>
        <w:tc>
          <w:tcPr>
            <w:tcW w:type="dxa" w:w="2492"/>
          </w:tcPr>
          <w:p>
            <w:pPr>
              <w:pStyle w:val="null3"/>
            </w:pPr>
            <w:r>
              <w:rPr>
                <w:rFonts w:ascii="仿宋_GB2312" w:hAnsi="仿宋_GB2312" w:cs="仿宋_GB2312" w:eastAsia="仿宋_GB2312"/>
              </w:rPr>
              <w:t>项目组织管理机构：项目组织管理机构人员配置齐全（项目经理、技术负责人、施工人员等），各专业配备合理、分工及岗位职责清晰、阐述条理清晰详尽、符合本项目要求的得5.0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施工组织设计8</w:t>
            </w:r>
          </w:p>
        </w:tc>
        <w:tc>
          <w:tcPr>
            <w:tcW w:type="dxa" w:w="2492"/>
          </w:tcPr>
          <w:p>
            <w:pPr>
              <w:pStyle w:val="null3"/>
            </w:pPr>
            <w:r>
              <w:rPr>
                <w:rFonts w:ascii="仿宋_GB2312" w:hAnsi="仿宋_GB2312" w:cs="仿宋_GB2312" w:eastAsia="仿宋_GB2312"/>
              </w:rPr>
              <w:t>项目实施过程中不打扰学校正常办公及教学的相关保证措施合理，可行性高、阐述条理清晰详尽、符合本项目要求的得5.0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施工组织设计9</w:t>
            </w:r>
          </w:p>
        </w:tc>
        <w:tc>
          <w:tcPr>
            <w:tcW w:type="dxa" w:w="2492"/>
          </w:tcPr>
          <w:p>
            <w:pPr>
              <w:pStyle w:val="null3"/>
            </w:pPr>
            <w:r>
              <w:rPr>
                <w:rFonts w:ascii="仿宋_GB2312" w:hAnsi="仿宋_GB2312" w:cs="仿宋_GB2312" w:eastAsia="仿宋_GB2312"/>
              </w:rPr>
              <w:t>降低项目造价、缩短施工周期的合理化建议：各项建议合理、可行，方法得当、阐述条理清晰详尽、符合本项目要求的得5.0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施工组织设计10</w:t>
            </w:r>
          </w:p>
        </w:tc>
        <w:tc>
          <w:tcPr>
            <w:tcW w:type="dxa" w:w="2492"/>
          </w:tcPr>
          <w:p>
            <w:pPr>
              <w:pStyle w:val="null3"/>
            </w:pPr>
            <w:r>
              <w:rPr>
                <w:rFonts w:ascii="仿宋_GB2312" w:hAnsi="仿宋_GB2312" w:cs="仿宋_GB2312" w:eastAsia="仿宋_GB2312"/>
              </w:rPr>
              <w:t>突发事件的应急措施和解决方案，各项措施方案合理、可行，方法得当、阐述条理清晰详尽、符合本项目要求的得5.0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供应商提供2022年1月1日起至今的类似项目业绩，每提供一份得3分，满分15分。（业绩以合同复印件为准，时间以合同签订日期为准。）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磋商报价得分=（磋商基准价/最后磋商报价）×30 注：1.磋商基准价即实质性响应竞争性磋商文件要求的供应商的最低磋商报价。大于最高限价的磋商报价在评审过程中报价按无效磋商处理。 2.经磋商小组一致认定，供应商的磋商最终总报价低于公认市场成本，或超过采购预算，其磋商将被拒绝，按无效处理。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详见附件：身份证明文件</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详见附件：技术、商务要求偏离表</w:t>
      </w:r>
    </w:p>
    <w:p>
      <w:pPr>
        <w:pStyle w:val="null3"/>
        <w:ind w:firstLine="960"/>
      </w:pPr>
      <w:r>
        <w:rPr>
          <w:rFonts w:ascii="仿宋_GB2312" w:hAnsi="仿宋_GB2312" w:cs="仿宋_GB2312" w:eastAsia="仿宋_GB2312"/>
        </w:rPr>
        <w:t>详见附件：施工组织设计</w:t>
      </w:r>
    </w:p>
    <w:p>
      <w:pPr>
        <w:pStyle w:val="null3"/>
        <w:ind w:firstLine="960"/>
      </w:pPr>
      <w:r>
        <w:rPr>
          <w:rFonts w:ascii="仿宋_GB2312" w:hAnsi="仿宋_GB2312" w:cs="仿宋_GB2312" w:eastAsia="仿宋_GB2312"/>
        </w:rPr>
        <w:t>详见附件：企业业绩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