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版本号：ZKBHDL-SXA-25030（CGZC2025-157）20250801001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2025欧亚经济论坛综合园区发展会议服务项目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ZKBHDL-SXA-25030（CGZC2025-157）</w:t>
      </w:r>
      <w:r>
        <w:br/>
      </w:r>
      <w:r>
        <w:br/>
      </w:r>
      <w:r>
        <w:br/>
      </w:r>
    </w:p>
    <w:p>
      <w:pPr>
        <w:pStyle w:val="null3"/>
        <w:jc w:val="center"/>
        <w:outlineLvl w:val="2"/>
      </w:pPr>
      <w:r>
        <w:rPr>
          <w:rFonts w:ascii="仿宋_GB2312" w:hAnsi="仿宋_GB2312" w:cs="仿宋_GB2312" w:eastAsia="仿宋_GB2312"/>
          <w:sz w:val="28"/>
          <w:b/>
        </w:rPr>
        <w:t>西安浐灞国际港欧亚经济综合产业园</w:t>
      </w:r>
    </w:p>
    <w:p>
      <w:pPr>
        <w:pStyle w:val="null3"/>
        <w:jc w:val="center"/>
        <w:outlineLvl w:val="2"/>
      </w:pPr>
      <w:r>
        <w:rPr>
          <w:rFonts w:ascii="仿宋_GB2312" w:hAnsi="仿宋_GB2312" w:cs="仿宋_GB2312" w:eastAsia="仿宋_GB2312"/>
          <w:sz w:val="28"/>
          <w:b/>
        </w:rPr>
        <w:t>中科标禾工程项目管理有限公司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中科标禾工程项目管理有限公司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西安浐灞国际港欧亚经济综合产业园</w:t>
      </w:r>
      <w:r>
        <w:rPr>
          <w:rFonts w:ascii="仿宋_GB2312" w:hAnsi="仿宋_GB2312" w:cs="仿宋_GB2312" w:eastAsia="仿宋_GB2312"/>
        </w:rPr>
        <w:t>委托，拟对</w:t>
      </w:r>
      <w:r>
        <w:rPr>
          <w:rFonts w:ascii="仿宋_GB2312" w:hAnsi="仿宋_GB2312" w:cs="仿宋_GB2312" w:eastAsia="仿宋_GB2312"/>
        </w:rPr>
        <w:t>2025欧亚经济论坛综合园区发展会议服务项目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ZKBHDL-SXA-25030（CGZC2025-157）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2025欧亚经济论坛综合园区发展会议服务项目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2025欧亚经济论坛综合园区发展会议服务项目详细内容详见第三章。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采购包1（2025欧亚经济论坛综合园区发展会议服务项目）：属于专门面向中小企业采购。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提供供应商2024年度经审计的财务报告，或在投标截止日期前6个月内其基本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3、税收缴纳证明：提供供应商自投标截止日期前6个月以来已缴纳任意时段纳税证明或税务机关开具的完税证明（增值税、营业税、企业所得税至少提供一种）；依法免税的应提供相关文件证明</w:t>
      </w:r>
    </w:p>
    <w:p>
      <w:pPr>
        <w:pStyle w:val="null3"/>
      </w:pPr>
      <w:r>
        <w:rPr>
          <w:rFonts w:ascii="仿宋_GB2312" w:hAnsi="仿宋_GB2312" w:cs="仿宋_GB2312" w:eastAsia="仿宋_GB2312"/>
        </w:rPr>
        <w:t>4、社会保障资金缴纳证明：提供供应商自投标截止日期前6个月以来已缴存的任意时段的社会保障资金缴存单据或社保机构开具的社会保险参保缴费情况证明；依法不需要缴纳社会保障资金的应提供相关文件证明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5、无重大违法记录声明：参加本次政府采购活动前3年内，在经营活动中没有重大违法记录的书面声明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w:t>
      </w:r>
    </w:p>
    <w:p>
      <w:pPr>
        <w:pStyle w:val="null3"/>
      </w:pPr>
      <w:r>
        <w:rPr>
          <w:rFonts w:ascii="仿宋_GB2312" w:hAnsi="仿宋_GB2312" w:cs="仿宋_GB2312" w:eastAsia="仿宋_GB2312"/>
        </w:rPr>
        <w:t>7、信用查询：供应商不得为列入信用中国(www.creditchina.gov.cn)记录失信被执行人、重大税收违法案件当事人名单、中国政府采购网(www.ccgp.gov.cn)的政府采购严重违法失信行为记录名单。（以磋商当天代理机构核查为准）</w:t>
      </w:r>
    </w:p>
    <w:p>
      <w:pPr>
        <w:pStyle w:val="null3"/>
      </w:pPr>
      <w:r>
        <w:rPr>
          <w:rFonts w:ascii="仿宋_GB2312" w:hAnsi="仿宋_GB2312" w:cs="仿宋_GB2312" w:eastAsia="仿宋_GB2312"/>
        </w:rPr>
        <w:t>8、本采购包专门面向中小企业采购：本项目专门面向中小企业采购，须符合《政府采购促进中小企业发展管理办法》（财库〔2020〕46号）规定的中小企业参加，符合要求的监狱企业或残疾人福利单位视同小微企业，并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西安浐灞国际港欧亚经济综合产业园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浐灞商务中心一期 5B38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029-83592059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中科标禾工程项目管理有限公司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陕西省西安市曲江新区雁展路1111号莱安中心T7栋1006室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云工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18149499527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代理服务费收费标准：代理服务费收费标准：按照国家计委颁布的《招标代理服务收费管理暂行办法》（计价格【2002】1980号）及发改办价格【2003】857号）文规定按服务类收取代理服务费。 由中标(成交)单位在领取成交通知书前，一次性向代理机构付清。 招标代理服务费缴纳账户： 名称：中科标禾工程项目管理有限公司陕西分公司 开户行：民生银行西安分行营业部 账号：699806042 转账事由：xx项目代理服务费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西安浐灞国际港欧亚经济综合产业园</w:t>
      </w:r>
      <w:r>
        <w:rPr>
          <w:rFonts w:ascii="仿宋_GB2312" w:hAnsi="仿宋_GB2312" w:cs="仿宋_GB2312" w:eastAsia="仿宋_GB2312"/>
        </w:rPr>
        <w:t>和</w:t>
      </w:r>
      <w:r>
        <w:rPr>
          <w:rFonts w:ascii="仿宋_GB2312" w:hAnsi="仿宋_GB2312" w:cs="仿宋_GB2312" w:eastAsia="仿宋_GB2312"/>
        </w:rPr>
        <w:t>中科标禾工程项目管理有限公司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西安浐灞国际港欧亚经济综合产业园</w:t>
      </w:r>
      <w:r>
        <w:rPr>
          <w:rFonts w:ascii="仿宋_GB2312" w:hAnsi="仿宋_GB2312" w:cs="仿宋_GB2312" w:eastAsia="仿宋_GB2312"/>
        </w:rPr>
        <w:t>负责解释。除上述磋商文件内容，其他内容由</w:t>
      </w:r>
      <w:r>
        <w:rPr>
          <w:rFonts w:ascii="仿宋_GB2312" w:hAnsi="仿宋_GB2312" w:cs="仿宋_GB2312" w:eastAsia="仿宋_GB2312"/>
        </w:rPr>
        <w:t>中科标禾工程项目管理有限公司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西安浐灞国际港欧亚经济综合产业园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中科标禾工程项目管理有限公司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中科标禾工程项目管理有限公司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中科标禾工程项目管理有限公司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中科标禾工程项目管理有限公司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联系人：云工</w:t>
      </w:r>
    </w:p>
    <w:p>
      <w:pPr>
        <w:pStyle w:val="null3"/>
      </w:pPr>
      <w:r>
        <w:rPr>
          <w:rFonts w:ascii="仿宋_GB2312" w:hAnsi="仿宋_GB2312" w:cs="仿宋_GB2312" w:eastAsia="仿宋_GB2312"/>
        </w:rPr>
        <w:t>联系电话：18149499527</w:t>
      </w:r>
    </w:p>
    <w:p>
      <w:pPr>
        <w:pStyle w:val="null3"/>
      </w:pPr>
      <w:r>
        <w:rPr>
          <w:rFonts w:ascii="仿宋_GB2312" w:hAnsi="仿宋_GB2312" w:cs="仿宋_GB2312" w:eastAsia="仿宋_GB2312"/>
        </w:rPr>
        <w:t>地址：陕西省西安市曲江新区雁展路1111号莱安中心T7栋1006室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欧亚经济论坛综合园区发展论坛是欧亚经济论坛框架下重要分会之一，自2013年以来，已连续举办六届。在助力论坛实体化，推动区域经济发展、促进国际合作等方面发挥举足轻重的作用。 2025 年欧亚经济论坛综合园区发展论坛将结合园区发展现状和需求，立足全球科技竞争与产业变革加速的时代背景，深入贯彻落实总书记在全国两会期间强调，“科技创新和产业创新，是发展新质生产力的基本路径”重要讲话精神。落实省市要求密切关注中国一中亚峰会和中欧班列(西安)经济圈的最新指示，以“科技引领，创新协同”为主题，构建政府、企业、高校、科研机构等多方参与的开放式对话平台，推动园区产业高质量发展和技术成果交流合作。 为保障综合园区发展会议的成功举办，将在重要嘉宾邀请、成果发布、嘉宾接待保障、会场搭建、会务服务、媒体宣传等名方面开展相关工作。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详见磋商文件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标的名称：详见磋商文件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一、项目概况</w:t>
            </w:r>
          </w:p>
          <w:p>
            <w:pPr>
              <w:pStyle w:val="null3"/>
              <w:ind w:firstLine="480"/>
            </w:pPr>
            <w:r>
              <w:rPr>
                <w:rFonts w:ascii="仿宋_GB2312" w:hAnsi="仿宋_GB2312" w:cs="仿宋_GB2312" w:eastAsia="仿宋_GB2312"/>
                <w:sz w:val="20"/>
              </w:rPr>
              <w:t>欧</w:t>
            </w:r>
            <w:r>
              <w:rPr>
                <w:rFonts w:ascii="仿宋_GB2312" w:hAnsi="仿宋_GB2312" w:cs="仿宋_GB2312" w:eastAsia="仿宋_GB2312"/>
              </w:rPr>
              <w:t>亚经济论坛综合园区发展论坛是欧亚经济论坛框架下重要分会之一，自</w:t>
            </w:r>
            <w:r>
              <w:rPr>
                <w:rFonts w:ascii="仿宋_GB2312" w:hAnsi="仿宋_GB2312" w:cs="仿宋_GB2312" w:eastAsia="仿宋_GB2312"/>
              </w:rPr>
              <w:t>2013年以来，已连续举办六届。在助力论坛实体化，推动区域经济发展、促进国际合作等方面发挥举足轻重的作用。</w:t>
            </w:r>
          </w:p>
          <w:p>
            <w:pPr>
              <w:pStyle w:val="null3"/>
              <w:ind w:firstLine="480"/>
            </w:pPr>
            <w:r>
              <w:rPr>
                <w:rFonts w:ascii="仿宋_GB2312" w:hAnsi="仿宋_GB2312" w:cs="仿宋_GB2312" w:eastAsia="仿宋_GB2312"/>
              </w:rPr>
              <w:t>2025 年欧亚经济论坛综合园区发展论坛将结合园区发展现状和需求，立足全球科技竞争与产业变革加速的时代背景，深入贯彻落实总书记在全国两会期间强调，“科技创新和产业创新，是发展新质生产力的基本路径”重要讲话精神。落实省市要求密切关注中国一中亚峰会和中欧班列(西安)经济圈的最新指示，以“新质领航、科创未来”为主题，构建政府、企业、高校、科研机构等多方参与的开放式对话平台，推动园区产业高质量发展和技术成果交流合作。</w:t>
            </w:r>
          </w:p>
          <w:p>
            <w:pPr>
              <w:pStyle w:val="null3"/>
              <w:ind w:firstLine="480"/>
            </w:pPr>
            <w:r>
              <w:rPr>
                <w:rFonts w:ascii="仿宋_GB2312" w:hAnsi="仿宋_GB2312" w:cs="仿宋_GB2312" w:eastAsia="仿宋_GB2312"/>
              </w:rPr>
              <w:t>为保障综合园区发展会议的成功举办，将在重要嘉宾邀请、成果发布、嘉宾接待保障、会场搭建、会务服务、媒体宣传等名方面开展相关</w:t>
            </w:r>
            <w:r>
              <w:rPr>
                <w:rFonts w:ascii="仿宋_GB2312" w:hAnsi="仿宋_GB2312" w:cs="仿宋_GB2312" w:eastAsia="仿宋_GB2312"/>
              </w:rPr>
              <w:t>工</w:t>
            </w:r>
            <w:r>
              <w:rPr>
                <w:rFonts w:ascii="仿宋_GB2312" w:hAnsi="仿宋_GB2312" w:cs="仿宋_GB2312" w:eastAsia="仿宋_GB2312"/>
              </w:rPr>
              <w:t>作</w:t>
            </w:r>
            <w:r>
              <w:rPr>
                <w:rFonts w:ascii="仿宋_GB2312" w:hAnsi="仿宋_GB2312" w:cs="仿宋_GB2312" w:eastAsia="仿宋_GB2312"/>
              </w:rPr>
              <w:t>。</w:t>
            </w:r>
          </w:p>
          <w:p>
            <w:pPr>
              <w:pStyle w:val="null3"/>
              <w:ind w:firstLine="400"/>
              <w:jc w:val="both"/>
            </w:pPr>
            <w:r>
              <w:rPr>
                <w:rFonts w:ascii="仿宋_GB2312" w:hAnsi="仿宋_GB2312" w:cs="仿宋_GB2312" w:eastAsia="仿宋_GB2312"/>
                <w:sz w:val="20"/>
              </w:rPr>
              <w:t>二、服务内容</w:t>
            </w:r>
          </w:p>
          <w:p>
            <w:pPr>
              <w:pStyle w:val="null3"/>
              <w:ind w:firstLine="400"/>
              <w:jc w:val="both"/>
            </w:pPr>
            <w:r>
              <w:rPr>
                <w:rFonts w:ascii="仿宋_GB2312" w:hAnsi="仿宋_GB2312" w:cs="仿宋_GB2312" w:eastAsia="仿宋_GB2312"/>
                <w:sz w:val="20"/>
              </w:rPr>
              <w:t>1、负责欧亚论坛发展会议策划并形成整体方案，确定会议组织架构，明确会议指导、主办、承办和协办单位;</w:t>
            </w:r>
          </w:p>
          <w:p>
            <w:pPr>
              <w:pStyle w:val="null3"/>
              <w:ind w:firstLine="400"/>
              <w:jc w:val="both"/>
            </w:pPr>
            <w:r>
              <w:rPr>
                <w:rFonts w:ascii="仿宋_GB2312" w:hAnsi="仿宋_GB2312" w:cs="仿宋_GB2312" w:eastAsia="仿宋_GB2312"/>
                <w:sz w:val="20"/>
              </w:rPr>
              <w:t>2、负责邀请重要嘉宾出席本次会议，包含1名副国级嘉宾，3名部级嘉宾，及多名外籍嘉宾和企业家，总体会议规模不少于450人;</w:t>
            </w:r>
          </w:p>
          <w:p>
            <w:pPr>
              <w:pStyle w:val="null3"/>
              <w:ind w:firstLine="400"/>
              <w:jc w:val="both"/>
            </w:pPr>
            <w:r>
              <w:rPr>
                <w:rFonts w:ascii="仿宋_GB2312" w:hAnsi="仿宋_GB2312" w:cs="仿宋_GB2312" w:eastAsia="仿宋_GB2312"/>
                <w:sz w:val="20"/>
              </w:rPr>
              <w:t>3、负责邀请国家级智库围绕园区建设形成相关规划成</w:t>
            </w:r>
          </w:p>
          <w:p>
            <w:pPr>
              <w:pStyle w:val="null3"/>
              <w:jc w:val="both"/>
            </w:pPr>
            <w:r>
              <w:rPr>
                <w:rFonts w:ascii="仿宋_GB2312" w:hAnsi="仿宋_GB2312" w:cs="仿宋_GB2312" w:eastAsia="仿宋_GB2312"/>
                <w:sz w:val="20"/>
              </w:rPr>
              <w:t>果，并予以发布</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4、负责制定重要嘉宾接待方案，明确接待保障内容，做好重要嘉宾、外籍嘉宾和企业家的往返交通及服务、住宿餐饮等相关工作;</w:t>
            </w:r>
          </w:p>
          <w:p>
            <w:pPr>
              <w:pStyle w:val="null3"/>
              <w:ind w:firstLine="400"/>
              <w:jc w:val="both"/>
            </w:pPr>
            <w:r>
              <w:rPr>
                <w:rFonts w:ascii="仿宋_GB2312" w:hAnsi="仿宋_GB2312" w:cs="仿宋_GB2312" w:eastAsia="仿宋_GB2312"/>
                <w:sz w:val="20"/>
              </w:rPr>
              <w:t>5、负责会议会场的保障工作，包含会场、接待室、茶歇等内容;负责会场搭建，包含主题展览区、舞台、大屏、音响、灯光、展板等设施设备租赁搭建撒展等;</w:t>
            </w:r>
          </w:p>
          <w:p>
            <w:pPr>
              <w:pStyle w:val="null3"/>
              <w:ind w:firstLine="400"/>
              <w:jc w:val="both"/>
            </w:pPr>
            <w:r>
              <w:rPr>
                <w:rFonts w:ascii="仿宋_GB2312" w:hAnsi="仿宋_GB2312" w:cs="仿宋_GB2312" w:eastAsia="仿宋_GB2312"/>
                <w:sz w:val="20"/>
              </w:rPr>
              <w:t>6、负责会务服务相关工作，包含会场服务保障人员，场内技术人员，彩排及流程把控，会务物资物料等;</w:t>
            </w:r>
          </w:p>
          <w:p>
            <w:pPr>
              <w:pStyle w:val="null3"/>
              <w:ind w:firstLine="400"/>
              <w:jc w:val="both"/>
            </w:pPr>
            <w:r>
              <w:rPr>
                <w:rFonts w:ascii="仿宋_GB2312" w:hAnsi="仿宋_GB2312" w:cs="仿宋_GB2312" w:eastAsia="仿宋_GB2312"/>
                <w:sz w:val="20"/>
              </w:rPr>
              <w:t>7、负责中省市等重点媒体的宣传推广工作。</w:t>
            </w:r>
          </w:p>
          <w:p>
            <w:pPr>
              <w:pStyle w:val="null3"/>
              <w:ind w:firstLine="400"/>
              <w:jc w:val="both"/>
            </w:pPr>
            <w:r>
              <w:rPr>
                <w:rFonts w:ascii="仿宋_GB2312" w:hAnsi="仿宋_GB2312" w:cs="仿宋_GB2312" w:eastAsia="仿宋_GB2312"/>
                <w:sz w:val="20"/>
              </w:rPr>
              <w:t>三、技术要求</w:t>
            </w:r>
          </w:p>
          <w:p>
            <w:pPr>
              <w:pStyle w:val="null3"/>
              <w:ind w:firstLine="400"/>
              <w:jc w:val="both"/>
            </w:pPr>
            <w:r>
              <w:rPr>
                <w:rFonts w:ascii="仿宋_GB2312" w:hAnsi="仿宋_GB2312" w:cs="仿宋_GB2312" w:eastAsia="仿宋_GB2312"/>
                <w:sz w:val="20"/>
              </w:rPr>
              <w:t>1、理解项目背景、活动需求、目标和原则制定策划方</w:t>
            </w:r>
          </w:p>
          <w:p>
            <w:pPr>
              <w:pStyle w:val="null3"/>
              <w:jc w:val="both"/>
            </w:pPr>
            <w:r>
              <w:rPr>
                <w:rFonts w:ascii="仿宋_GB2312" w:hAnsi="仿宋_GB2312" w:cs="仿宋_GB2312" w:eastAsia="仿宋_GB2312"/>
                <w:sz w:val="20"/>
              </w:rPr>
              <w:t>案</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2、根据项目具体情况制定计，实施方案详细、合理、全面并具有特色亮点;</w:t>
            </w:r>
          </w:p>
          <w:p>
            <w:pPr>
              <w:pStyle w:val="null3"/>
              <w:ind w:firstLine="400"/>
              <w:jc w:val="both"/>
            </w:pPr>
            <w:r>
              <w:rPr>
                <w:rFonts w:ascii="仿宋_GB2312" w:hAnsi="仿宋_GB2312" w:cs="仿宋_GB2312" w:eastAsia="仿宋_GB2312"/>
                <w:sz w:val="20"/>
              </w:rPr>
              <w:t>3、明确物料素材的制作标准，包括图像分辨率、尺寸、</w:t>
            </w:r>
          </w:p>
          <w:p>
            <w:pPr>
              <w:pStyle w:val="null3"/>
              <w:jc w:val="both"/>
            </w:pPr>
            <w:r>
              <w:rPr>
                <w:rFonts w:ascii="仿宋_GB2312" w:hAnsi="仿宋_GB2312" w:cs="仿宋_GB2312" w:eastAsia="仿宋_GB2312"/>
                <w:sz w:val="20"/>
              </w:rPr>
              <w:t>规格等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4、提供详细的项目实施进度表，列出每个阶段的起止时间，确保各项任务按时完成;</w:t>
            </w:r>
          </w:p>
          <w:p>
            <w:pPr>
              <w:pStyle w:val="null3"/>
              <w:ind w:firstLine="400"/>
              <w:jc w:val="both"/>
            </w:pPr>
            <w:r>
              <w:rPr>
                <w:rFonts w:ascii="仿宋_GB2312" w:hAnsi="仿宋_GB2312" w:cs="仿宋_GB2312" w:eastAsia="仿宋_GB2312"/>
                <w:sz w:val="20"/>
              </w:rPr>
              <w:t>5、确保发展会议的工作符合相关法律法规及行业标准;</w:t>
            </w:r>
          </w:p>
          <w:p>
            <w:pPr>
              <w:pStyle w:val="null3"/>
              <w:ind w:firstLine="400"/>
              <w:jc w:val="both"/>
            </w:pPr>
            <w:r>
              <w:rPr>
                <w:rFonts w:ascii="仿宋_GB2312" w:hAnsi="仿宋_GB2312" w:cs="仿宋_GB2312" w:eastAsia="仿宋_GB2312"/>
                <w:sz w:val="20"/>
              </w:rPr>
              <w:t>6、确保使用的所有素材(如图片、文字等)均无侵权行</w:t>
            </w:r>
          </w:p>
          <w:p>
            <w:pPr>
              <w:pStyle w:val="null3"/>
              <w:jc w:val="both"/>
            </w:pPr>
            <w:r>
              <w:rPr>
                <w:rFonts w:ascii="仿宋_GB2312" w:hAnsi="仿宋_GB2312" w:cs="仿宋_GB2312" w:eastAsia="仿宋_GB2312"/>
                <w:sz w:val="20"/>
              </w:rPr>
              <w:t>为</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7、制定应急预案，以应对突发事件(如天气原因、人为</w:t>
            </w:r>
          </w:p>
          <w:p>
            <w:pPr>
              <w:pStyle w:val="null3"/>
              <w:jc w:val="both"/>
            </w:pPr>
            <w:r>
              <w:rPr>
                <w:rFonts w:ascii="仿宋_GB2312" w:hAnsi="仿宋_GB2312" w:cs="仿宋_GB2312" w:eastAsia="仿宋_GB2312"/>
                <w:sz w:val="20"/>
              </w:rPr>
              <w:t>破坏问题等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四、服务要求</w:t>
            </w:r>
          </w:p>
          <w:p>
            <w:pPr>
              <w:pStyle w:val="null3"/>
              <w:ind w:firstLine="400"/>
              <w:jc w:val="both"/>
            </w:pPr>
            <w:r>
              <w:rPr>
                <w:rFonts w:ascii="仿宋_GB2312" w:hAnsi="仿宋_GB2312" w:cs="仿宋_GB2312" w:eastAsia="仿宋_GB2312"/>
                <w:sz w:val="20"/>
              </w:rPr>
              <w:t>1、详细描述服务的具体范围和任务，明确活动目的意</w:t>
            </w:r>
          </w:p>
          <w:p>
            <w:pPr>
              <w:pStyle w:val="null3"/>
              <w:jc w:val="both"/>
            </w:pPr>
            <w:r>
              <w:rPr>
                <w:rFonts w:ascii="仿宋_GB2312" w:hAnsi="仿宋_GB2312" w:cs="仿宋_GB2312" w:eastAsia="仿宋_GB2312"/>
                <w:sz w:val="20"/>
              </w:rPr>
              <w:t>义，提高认识站位</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2、制定质量考核指标，提高服务满意度调查度;项目完</w:t>
            </w:r>
          </w:p>
          <w:p>
            <w:pPr>
              <w:pStyle w:val="null3"/>
              <w:jc w:val="both"/>
            </w:pPr>
            <w:r>
              <w:rPr>
                <w:rFonts w:ascii="仿宋_GB2312" w:hAnsi="仿宋_GB2312" w:cs="仿宋_GB2312" w:eastAsia="仿宋_GB2312"/>
                <w:sz w:val="20"/>
              </w:rPr>
              <w:t>成的准确率、及时率等应符合要求</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3、明确工作人员资质和数量要求，确保欧亚论坛发展会议项目的有效管理和协调;</w:t>
            </w:r>
          </w:p>
          <w:p>
            <w:pPr>
              <w:pStyle w:val="null3"/>
              <w:ind w:firstLine="400"/>
              <w:jc w:val="both"/>
            </w:pPr>
            <w:r>
              <w:rPr>
                <w:rFonts w:ascii="仿宋_GB2312" w:hAnsi="仿宋_GB2312" w:cs="仿宋_GB2312" w:eastAsia="仿宋_GB2312"/>
                <w:sz w:val="20"/>
              </w:rPr>
              <w:t>4、安排专人在全天各时段不间断巡查监管，确保第一时间发现问题并解决问题;</w:t>
            </w:r>
          </w:p>
          <w:p>
            <w:pPr>
              <w:pStyle w:val="null3"/>
              <w:ind w:firstLine="400"/>
              <w:jc w:val="both"/>
            </w:pPr>
            <w:r>
              <w:rPr>
                <w:rFonts w:ascii="仿宋_GB2312" w:hAnsi="仿宋_GB2312" w:cs="仿宋_GB2312" w:eastAsia="仿宋_GB2312"/>
                <w:sz w:val="20"/>
              </w:rPr>
              <w:t>5、对于涉及敏感信息的内容，应明确保密义务和违约责任，确保信息安全。</w:t>
            </w:r>
          </w:p>
          <w:p>
            <w:pPr>
              <w:pStyle w:val="null3"/>
              <w:ind w:firstLine="400"/>
              <w:jc w:val="both"/>
            </w:pPr>
            <w:r>
              <w:rPr>
                <w:rFonts w:ascii="仿宋_GB2312" w:hAnsi="仿宋_GB2312" w:cs="仿宋_GB2312" w:eastAsia="仿宋_GB2312"/>
                <w:sz w:val="20"/>
              </w:rPr>
              <w:t>五、商务要求</w:t>
            </w:r>
          </w:p>
          <w:p>
            <w:pPr>
              <w:pStyle w:val="null3"/>
              <w:ind w:firstLine="400"/>
              <w:jc w:val="both"/>
            </w:pPr>
            <w:r>
              <w:rPr>
                <w:rFonts w:ascii="仿宋_GB2312" w:hAnsi="仿宋_GB2312" w:cs="仿宋_GB2312" w:eastAsia="仿宋_GB2312"/>
                <w:sz w:val="20"/>
              </w:rPr>
              <w:t>1、合同内容及金额:即采购需求服务内容及招采金额。</w:t>
            </w:r>
          </w:p>
          <w:p>
            <w:pPr>
              <w:pStyle w:val="null3"/>
              <w:ind w:firstLine="400"/>
              <w:jc w:val="both"/>
            </w:pPr>
            <w:r>
              <w:rPr>
                <w:rFonts w:ascii="仿宋_GB2312" w:hAnsi="仿宋_GB2312" w:cs="仿宋_GB2312" w:eastAsia="仿宋_GB2312"/>
                <w:sz w:val="20"/>
              </w:rPr>
              <w:t>2、服务期:自合同签订后5日内完成欧亚论坛发展会议</w:t>
            </w:r>
          </w:p>
          <w:p>
            <w:pPr>
              <w:pStyle w:val="null3"/>
              <w:jc w:val="both"/>
            </w:pPr>
            <w:r>
              <w:rPr>
                <w:rFonts w:ascii="仿宋_GB2312" w:hAnsi="仿宋_GB2312" w:cs="仿宋_GB2312" w:eastAsia="仿宋_GB2312"/>
                <w:sz w:val="20"/>
              </w:rPr>
              <w:t>方案的编制，大会开始前</w:t>
            </w:r>
            <w:r>
              <w:rPr>
                <w:rFonts w:ascii="仿宋_GB2312" w:hAnsi="仿宋_GB2312" w:cs="仿宋_GB2312" w:eastAsia="仿宋_GB2312"/>
                <w:sz w:val="20"/>
              </w:rPr>
              <w:t>2日完成场地搭建布设工作。</w:t>
            </w:r>
          </w:p>
          <w:p>
            <w:pPr>
              <w:pStyle w:val="null3"/>
              <w:jc w:val="both"/>
            </w:pPr>
            <w:r>
              <w:rPr>
                <w:rFonts w:ascii="仿宋_GB2312" w:hAnsi="仿宋_GB2312" w:cs="仿宋_GB2312" w:eastAsia="仿宋_GB2312"/>
                <w:sz w:val="20"/>
              </w:rPr>
              <w:t>项目实施地点</w:t>
            </w:r>
            <w:r>
              <w:rPr>
                <w:rFonts w:ascii="仿宋_GB2312" w:hAnsi="仿宋_GB2312" w:cs="仿宋_GB2312" w:eastAsia="仿宋_GB2312"/>
                <w:sz w:val="20"/>
              </w:rPr>
              <w:t>:西安国际会展中心会议楼。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自合同签订后5日内完成欧亚论坛发展会议 方案的编制，大会开始前2日完成场地搭建布设工作。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西安国际会展中心会议楼</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自本合同签订之日起，乙方开具等额增值税发票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待乙方完成欧亚论坛发展会议方案后，乙方开具等额增值税发票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项目完成后，乙方提交会议服务成果资料，开具等额增值税发票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服务标准：符合国家及行业有关现行规范、标准的要求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供应商2024年度经审计的财务报告或或在投标截止日期前6个月内其基本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提供供应商2024年度经审计的财务报告，或在投标截止日期前6个月内其基本开户银行出具的资信证明，或财政部门认可的政府采购专业担保机构出具的投标担保函（以上三种形式的资料提供任何一种即可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提供供应商自投标截止日期前6个月以来已缴纳任意时段纳税证明或税务机关开具的完税证明（增值税、营业税、企业所得税至少提供一种）；依法免税的应提供相关文件证明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提供供应商自投标截止日期前6个月以来已缴存的任意时段的社会保障资金缴存单据或社保机构开具的社会保险参保缴费情况证明；依法不需要缴纳社会保障资金的应提供相关文件证明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供应商不得为列入信用中国(www.creditchina.gov.cn)记录失信被执行人、重大税收违法案件当事人名单、中国政府采购网(www.ccgp.gov.cn)的政府采购严重违法失信行为记录名单。（以磋商当天代理机构核查为准）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本项目专门面向中小企业采购，须符合《政府采购促进中小企业发展管理办法》（财库〔2020〕46号）规定的中小企业参加，符合要求的监狱企业或残疾人福利单位视同小微企业，并提供声明函。</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磋商内容未出现漏项或数量与要求符，未出现重大负偏差</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项目活动策划服务方案</w:t>
            </w:r>
          </w:p>
        </w:tc>
        <w:tc>
          <w:tcPr>
            <w:tcW w:type="dxa" w:w="2492"/>
          </w:tcPr>
          <w:p>
            <w:pPr>
              <w:pStyle w:val="null3"/>
            </w:pPr>
            <w:r>
              <w:rPr>
                <w:rFonts w:ascii="仿宋_GB2312" w:hAnsi="仿宋_GB2312" w:cs="仿宋_GB2312" w:eastAsia="仿宋_GB2312"/>
              </w:rPr>
              <w:t>针对2025 欧亚经济论坛综合园区发展会议及相关会议活动具有完整性的策划服务方案：活动策划思路及构思完整定位准确，能够充分满足采购人的需求，提供针对本项目制定的服务方案，包括但不限于需求理解、活动设计思路、服务整体流程、时间进度计划安排、服务承诺等内容。 对项目内容及目标理解透彻、服务方案详细、科学、合理、可行，具有独到的创新理念，具备国际化视野，能引发良好的社会效应,完全满足采购人要求，得20分；对项目内容及目标理解基本透彻，方案详细、有针对性、可行性强，得15分；方案粗略、逻辑混乱、描述过于简单，得10分；方案与项目特点不匹配、套用其他项目方案、存在不可能实现的夸大情形或存在不适用项目实际情况的情形，得5分；未提供方案或只有标题没有实质性内容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嘉宾邀请及接待方案</w:t>
            </w:r>
          </w:p>
        </w:tc>
        <w:tc>
          <w:tcPr>
            <w:tcW w:type="dxa" w:w="2492"/>
          </w:tcPr>
          <w:p>
            <w:pPr>
              <w:pStyle w:val="null3"/>
            </w:pPr>
            <w:r>
              <w:rPr>
                <w:rFonts w:ascii="仿宋_GB2312" w:hAnsi="仿宋_GB2312" w:cs="仿宋_GB2312" w:eastAsia="仿宋_GB2312"/>
              </w:rPr>
              <w:t>针对本次论坛邀请参会嘉宾专家接待、用餐、住宿、接送站等方面提供完整的实施方案，根据方案的完整程度综合赋分。 方案详细、科学、合理、可行，具有先进的服务理念，注重创新，满足采购人要求，得10分；对项目内容及目标理解基本透彻，方案详细、有针对性、可行性强，得7分；方案粗略、逻辑混乱、描述过于简单，得4分；未提供方案或只有标题没有实质性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相关活动设计搭建、会场服务方案</w:t>
            </w:r>
          </w:p>
        </w:tc>
        <w:tc>
          <w:tcPr>
            <w:tcW w:type="dxa" w:w="2492"/>
          </w:tcPr>
          <w:p>
            <w:pPr>
              <w:pStyle w:val="null3"/>
            </w:pPr>
            <w:r>
              <w:rPr>
                <w:rFonts w:ascii="仿宋_GB2312" w:hAnsi="仿宋_GB2312" w:cs="仿宋_GB2312" w:eastAsia="仿宋_GB2312"/>
              </w:rPr>
              <w:t>1、针对本次活动的场地及会场设计搭建方案：能够根据采购人对活动场地的相关要求进行会议主视觉设计、会议延展物料设计、大会氛围营造、大会会场设计。根据方案的完整程度综合赋分。 设计方案完全满足采购人要求，且提供的设计方案具有创新理念，具备国际化视野，且方案完整，满分15分。响应内容存在1处瑕疵扣3分，扣完为止； 2、负责协调落实现场搭建工作。针对开幕式、全体大会、会议活动、配套活动等活动的场地及会场搭建方案，会场布局合理、创意独特、构思新颖，具有强烈感染力，对相关会议活动周边进行氛围营造及特色造型。方案质量高，完全满足论坛要求，满分5分；响应内容存在1处瑕疵扣1分，扣完为止； 3、会场服务方案，提供礼宾服务人员，为大会提供迎宾、引导等会务服务；活动现场配备足够工作人员，各个环节项目都有相对应的项目负责人，保障随时处理应急突发事件，方案质量高，完全满足论坛要求，满分5分；响应内容存在1处瑕疵扣1分，扣完为止； 以上评审内容未提供方案均不得分。（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根据投标文件所提供的服务团队（包括但不限于项目负责人履历、团队组织架构及证明材料、实施人员清单及证明材料、实施人员经验及相关资质证书等），自主赋分： 人员团队信息完善、岗位职责清晰、管理制度明确、团队人员专业能力强、项目负责人经验丰富，有专人对接，设计人员经验丰富，得10分； 人员团队信息完善、有岗位职责、管理制度不够完善、团队人员专业能力欠缺、项目负责人经验不足，设计人员经验不足，得7分； 人员团队信息不完善、岗位职责模糊、管理制度混乱、团队人员专业能力差、项目负责人经验差，设计人员经验差，得4分； 未提供服务团队信息本项不得分。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拟投入使用设备方案</w:t>
            </w:r>
          </w:p>
        </w:tc>
        <w:tc>
          <w:tcPr>
            <w:tcW w:type="dxa" w:w="2492"/>
          </w:tcPr>
          <w:p>
            <w:pPr>
              <w:pStyle w:val="null3"/>
            </w:pPr>
            <w:r>
              <w:rPr>
                <w:rFonts w:ascii="仿宋_GB2312" w:hAnsi="仿宋_GB2312" w:cs="仿宋_GB2312" w:eastAsia="仿宋_GB2312"/>
              </w:rPr>
              <w:t>根据投标文件所提供的采购内容中的技术要求提供完整的实施方案，根据拟投入的各类设备情况及相关设备证明材料，从设备的性能指标、种类、数量、使用年限、先进性等方面自主赋分： 拟投入本项目的的设备种类丰富、数量多、使用年限短、设备先进，得5分； 拟投入本项目的的设备种类欠缺、数量满足要求、设备不够先进，得3分； 拟投入本项目的的设备种类欠缺、数量满足要求、相对老旧，得1分； 未提供拟投入使用设备方案本项目不得分。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安保应急方案</w:t>
            </w:r>
          </w:p>
        </w:tc>
        <w:tc>
          <w:tcPr>
            <w:tcW w:type="dxa" w:w="2492"/>
          </w:tcPr>
          <w:p>
            <w:pPr>
              <w:pStyle w:val="null3"/>
            </w:pPr>
            <w:r>
              <w:rPr>
                <w:rFonts w:ascii="仿宋_GB2312" w:hAnsi="仿宋_GB2312" w:cs="仿宋_GB2312" w:eastAsia="仿宋_GB2312"/>
              </w:rPr>
              <w:t>投标人根据本次活动的规模情况及实际要求，有明确的安全保障方案及突发事件处理方案，在出现问题后有具体可行的补救措施，能够确保活动正常进行。根据方案内容是否详实，是否具有针对性及可行性，且方案针对各项突发事件是否具有明确的解决措施，有专门的安全保障措施、专业的安全保障设施和大型活动安全控制体系。方案详尽、合理、可行强、有针对性，针对各项突发事件是否具有明确的解决措施，有专门的安全保障措施、专业的安全保障设施和大型活动安全控制体系。 方案详尽具体，科学合理，可实施性强，得满分5分；响应内容存在1处瑕疵扣1分，扣完为止； 未提供方案不得分。（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投标人2022年1月1日至今具有同类项目业绩，以合同签订时间为准，投标人需同时提供中标通知书、合同；每个业绩计2分，满分10分。 注：需提供中标通知书、合同材料复印件并加盖公章。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详见附件：附件 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