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版本号：慧科ZX-CF01247BS20250814001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专项提升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慧科ZX-CF01247BS</w:t>
      </w:r>
      <w:r>
        <w:br/>
      </w:r>
      <w:r>
        <w:br/>
      </w:r>
      <w:r>
        <w:br/>
      </w:r>
    </w:p>
    <w:p>
      <w:pPr>
        <w:pStyle w:val="null3"/>
        <w:jc w:val="center"/>
        <w:outlineLvl w:val="2"/>
      </w:pPr>
      <w:r>
        <w:rPr>
          <w:rFonts w:ascii="仿宋_GB2312" w:hAnsi="仿宋_GB2312" w:cs="仿宋_GB2312" w:eastAsia="仿宋_GB2312"/>
          <w:sz w:val="28"/>
          <w:b/>
        </w:rPr>
        <w:t>西安市第三十四中学</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西安市第三十四中学</w:t>
      </w:r>
      <w:r>
        <w:rPr>
          <w:rFonts w:ascii="仿宋_GB2312" w:hAnsi="仿宋_GB2312" w:cs="仿宋_GB2312" w:eastAsia="仿宋_GB2312"/>
        </w:rPr>
        <w:t>委托，拟对</w:t>
      </w:r>
      <w:r>
        <w:rPr>
          <w:rFonts w:ascii="仿宋_GB2312" w:hAnsi="仿宋_GB2312" w:cs="仿宋_GB2312" w:eastAsia="仿宋_GB2312"/>
        </w:rPr>
        <w:t>专项提升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慧科ZX-CF01247BS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专项提升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改建公寓洗浴间和粉刷墙面、篮球场修缮、东西卫生间及综合楼卫生间改造、教学楼面维修、综合楼大厅维修、师生车棚修建。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1、有效的主体资格证明：供应商为合法注册的法人、其他组织或自然人，提供营业执照等证明文件</w:t>
      </w:r>
    </w:p>
    <w:p>
      <w:pPr>
        <w:pStyle w:val="null3"/>
      </w:pPr>
      <w:r>
        <w:rPr>
          <w:rFonts w:ascii="仿宋_GB2312" w:hAnsi="仿宋_GB2312" w:cs="仿宋_GB2312" w:eastAsia="仿宋_GB2312"/>
        </w:rPr>
        <w:t>2、财务状况报告：投标人2024年度经审计的财务报告或投标截止时间前三个月内其基本开户银行出具的资信证明及账户开户许可证明材料或财政部门认可的政府采购专业担保机构开具的投标担保函（任选其一）</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磋商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5、专业技术能力的声明：提供具有履行本合同所必需的设备和专业技术能力的说明及承诺；(提供书面说明及承诺，加盖供应商公章)</w:t>
      </w:r>
    </w:p>
    <w:p>
      <w:pPr>
        <w:pStyle w:val="null3"/>
      </w:pPr>
      <w:r>
        <w:rPr>
          <w:rFonts w:ascii="仿宋_GB2312" w:hAnsi="仿宋_GB2312" w:cs="仿宋_GB2312" w:eastAsia="仿宋_GB2312"/>
        </w:rPr>
        <w:t>6、没有重大违法记录的书面声明：提供参加政府采购活动前三年内在经营活动中没有重大违法记录的书面声明。(提供书面声明，加盖供应商公章)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7、资质情况：须提供建设行政主管部门颁发建筑工程施工总承包三级（含三级）及以上资质，并具有合格有效的安全生产许可证</w:t>
      </w:r>
    </w:p>
    <w:p>
      <w:pPr>
        <w:pStyle w:val="null3"/>
      </w:pPr>
      <w:r>
        <w:rPr>
          <w:rFonts w:ascii="仿宋_GB2312" w:hAnsi="仿宋_GB2312" w:cs="仿宋_GB2312" w:eastAsia="仿宋_GB2312"/>
        </w:rPr>
        <w:t>8、拟派项目负责人资质和专业要求：拟派项目经理须具备建筑工程专业二级（含二级）及以上注册建造师及安全生产考核合格证书，在本单位注册且无在建工程（提供无在建工程承诺书）</w:t>
      </w:r>
    </w:p>
    <w:p>
      <w:pPr>
        <w:pStyle w:val="null3"/>
      </w:pPr>
      <w:r>
        <w:rPr>
          <w:rFonts w:ascii="仿宋_GB2312" w:hAnsi="仿宋_GB2312" w:cs="仿宋_GB2312" w:eastAsia="仿宋_GB2312"/>
        </w:rPr>
        <w:t>9、供应商及项目经理基本信息：供应商在“陕西省住房和城乡建设厅（http://js.shaanxi.gov.cn/）可查询到企业及项目负责人（项目经理）基本信息</w:t>
      </w:r>
    </w:p>
    <w:p>
      <w:pPr>
        <w:pStyle w:val="null3"/>
      </w:pPr>
      <w:r>
        <w:rPr>
          <w:rFonts w:ascii="仿宋_GB2312" w:hAnsi="仿宋_GB2312" w:cs="仿宋_GB2312" w:eastAsia="仿宋_GB2312"/>
        </w:rPr>
        <w:t>10、供应商信用：不得为“信用中国”网站(http://www.creditchina.gov.cn)列入“失信被执行人、重大税收违法失信主体；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11、授权委托情况：法定代表人参加磋商的，须提供本人身份证复印件（附在响应文件中）；法定代表人授权他人参加磋商的，须提供法定代表人授权委托书。非法人单位参照执行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西安市第三十四中学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西安市华清东路162号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029-83592327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西安市高新区锦业一路56号研祥城市广场C座3楼C-306室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代理服务费收费标准：参照国家计委颁布的《招标代理服务收费管理暂行办法》（计价格[2002]1980号）和（发改办价格[2003]857号）中工程类收费标准收取。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西安市第三十四中学</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西安市第三十四中学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西安市第三十四中学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地址：西安市高新区锦业一路56号研祥城市广场C座3楼C-306室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1,780,877.45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西安市第三十四中学专项提升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标的名称：西安市第三十四中学专项提升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0"/>
              </w:rPr>
              <w:t>一、工程内容和实施地点、计划工期、缺陷责任期、质量保修期</w:t>
            </w:r>
          </w:p>
          <w:p>
            <w:pPr>
              <w:pStyle w:val="null3"/>
              <w:ind w:firstLine="420"/>
              <w:jc w:val="both"/>
            </w:pPr>
            <w:r>
              <w:rPr>
                <w:rFonts w:ascii="仿宋_GB2312" w:hAnsi="仿宋_GB2312" w:cs="仿宋_GB2312" w:eastAsia="仿宋_GB2312"/>
                <w:sz w:val="20"/>
              </w:rPr>
              <w:t>1、（1）</w:t>
            </w:r>
            <w:r>
              <w:rPr>
                <w:rFonts w:ascii="仿宋_GB2312" w:hAnsi="仿宋_GB2312" w:cs="仿宋_GB2312" w:eastAsia="仿宋_GB2312"/>
                <w:sz w:val="20"/>
              </w:rPr>
              <w:t>项目概况：</w:t>
            </w:r>
            <w:r>
              <w:rPr>
                <w:rFonts w:ascii="仿宋_GB2312" w:hAnsi="仿宋_GB2312" w:cs="仿宋_GB2312" w:eastAsia="仿宋_GB2312"/>
                <w:sz w:val="20"/>
              </w:rPr>
              <w:t>改建公寓洗浴间和粉刷墙面、篮球场修缮、东西卫生间及综合楼卫生间改造、教学楼面维修、综合楼大厅维修、师生车棚修建。</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）工程内容：</w:t>
            </w:r>
            <w:r>
              <w:rPr>
                <w:rFonts w:ascii="仿宋_GB2312" w:hAnsi="仿宋_GB2312" w:cs="仿宋_GB2312" w:eastAsia="仿宋_GB2312"/>
                <w:sz w:val="20"/>
              </w:rPr>
              <w:t>具体详见工程量清单。</w:t>
            </w:r>
          </w:p>
          <w:p>
            <w:pPr>
              <w:pStyle w:val="null3"/>
              <w:ind w:firstLine="420"/>
              <w:jc w:val="both"/>
            </w:pPr>
            <w:r>
              <w:rPr>
                <w:rFonts w:ascii="仿宋_GB2312" w:hAnsi="仿宋_GB2312" w:cs="仿宋_GB2312" w:eastAsia="仿宋_GB2312"/>
                <w:sz w:val="20"/>
              </w:rPr>
              <w:t>2、实施地点：</w:t>
            </w:r>
            <w:r>
              <w:rPr>
                <w:rFonts w:ascii="仿宋_GB2312" w:hAnsi="仿宋_GB2312" w:cs="仿宋_GB2312" w:eastAsia="仿宋_GB2312"/>
                <w:sz w:val="20"/>
              </w:rPr>
              <w:t>西安市第三十四中学</w:t>
            </w:r>
          </w:p>
          <w:p>
            <w:pPr>
              <w:pStyle w:val="null3"/>
              <w:ind w:firstLine="420"/>
              <w:jc w:val="both"/>
            </w:pPr>
            <w:r>
              <w:rPr>
                <w:rFonts w:ascii="仿宋_GB2312" w:hAnsi="仿宋_GB2312" w:cs="仿宋_GB2312" w:eastAsia="仿宋_GB2312"/>
                <w:sz w:val="20"/>
              </w:rPr>
              <w:t>3、计划工期：</w:t>
            </w:r>
            <w:r>
              <w:rPr>
                <w:rFonts w:ascii="仿宋_GB2312" w:hAnsi="仿宋_GB2312" w:cs="仿宋_GB2312" w:eastAsia="仿宋_GB2312"/>
                <w:sz w:val="20"/>
              </w:rPr>
              <w:t>合同签订之日起</w:t>
            </w:r>
            <w:r>
              <w:rPr>
                <w:rFonts w:ascii="仿宋_GB2312" w:hAnsi="仿宋_GB2312" w:cs="仿宋_GB2312" w:eastAsia="仿宋_GB2312"/>
                <w:sz w:val="20"/>
              </w:rPr>
              <w:t xml:space="preserve"> 60</w:t>
            </w:r>
            <w:r>
              <w:rPr>
                <w:rFonts w:ascii="仿宋_GB2312" w:hAnsi="仿宋_GB2312" w:cs="仿宋_GB2312" w:eastAsia="仿宋_GB2312"/>
                <w:sz w:val="20"/>
              </w:rPr>
              <w:t>日历日</w:t>
            </w:r>
          </w:p>
          <w:p>
            <w:pPr>
              <w:pStyle w:val="null3"/>
              <w:ind w:firstLine="420"/>
              <w:jc w:val="both"/>
            </w:pPr>
            <w:r>
              <w:rPr>
                <w:rFonts w:ascii="仿宋_GB2312" w:hAnsi="仿宋_GB2312" w:cs="仿宋_GB2312" w:eastAsia="仿宋_GB2312"/>
                <w:sz w:val="20"/>
              </w:rPr>
              <w:t>4、缺陷责任期：自竣工验收合格之日起</w:t>
            </w:r>
            <w:r>
              <w:rPr>
                <w:rFonts w:ascii="仿宋_GB2312" w:hAnsi="仿宋_GB2312" w:cs="仿宋_GB2312" w:eastAsia="仿宋_GB2312"/>
                <w:sz w:val="20"/>
              </w:rPr>
              <w:t xml:space="preserve"> 12</w:t>
            </w:r>
            <w:r>
              <w:rPr>
                <w:rFonts w:ascii="仿宋_GB2312" w:hAnsi="仿宋_GB2312" w:cs="仿宋_GB2312" w:eastAsia="仿宋_GB2312"/>
                <w:sz w:val="20"/>
              </w:rPr>
              <w:t>个月</w:t>
            </w:r>
          </w:p>
          <w:p>
            <w:pPr>
              <w:pStyle w:val="null3"/>
              <w:ind w:firstLine="420"/>
              <w:jc w:val="both"/>
            </w:pPr>
            <w:r>
              <w:rPr>
                <w:rFonts w:ascii="仿宋_GB2312" w:hAnsi="仿宋_GB2312" w:cs="仿宋_GB2312" w:eastAsia="仿宋_GB2312"/>
                <w:sz w:val="20"/>
              </w:rPr>
              <w:t>5、质量保修期：不少</w:t>
            </w:r>
            <w:r>
              <w:rPr>
                <w:rFonts w:ascii="仿宋_GB2312" w:hAnsi="仿宋_GB2312" w:cs="仿宋_GB2312" w:eastAsia="仿宋_GB2312"/>
                <w:sz w:val="20"/>
              </w:rPr>
              <w:t>2年</w:t>
            </w:r>
          </w:p>
          <w:p>
            <w:pPr>
              <w:pStyle w:val="null3"/>
              <w:ind w:firstLine="420"/>
              <w:jc w:val="both"/>
            </w:pPr>
            <w:r>
              <w:rPr>
                <w:rFonts w:ascii="仿宋_GB2312" w:hAnsi="仿宋_GB2312" w:cs="仿宋_GB2312" w:eastAsia="仿宋_GB2312"/>
                <w:sz w:val="28"/>
                <w:b/>
              </w:rPr>
              <w:t>二、施工要求</w:t>
            </w:r>
          </w:p>
          <w:p>
            <w:pPr>
              <w:pStyle w:val="null3"/>
              <w:ind w:firstLine="480"/>
              <w:jc w:val="both"/>
            </w:pPr>
            <w:r>
              <w:rPr>
                <w:rFonts w:ascii="仿宋_GB2312" w:hAnsi="仿宋_GB2312" w:cs="仿宋_GB2312" w:eastAsia="仿宋_GB2312"/>
                <w:sz w:val="20"/>
              </w:rPr>
              <w:t>在施工期间，中标供应商必须注意施工人员的人身安全，加强安全措施，并对施工人员进行安全教育。</w:t>
            </w:r>
          </w:p>
          <w:p>
            <w:pPr>
              <w:pStyle w:val="null3"/>
              <w:ind w:firstLine="480"/>
              <w:jc w:val="both"/>
            </w:pPr>
            <w:r>
              <w:rPr>
                <w:rFonts w:ascii="仿宋_GB2312" w:hAnsi="仿宋_GB2312" w:cs="仿宋_GB2312" w:eastAsia="仿宋_GB2312"/>
                <w:sz w:val="28"/>
                <w:b/>
              </w:rPr>
              <w:t>三、商务要求</w:t>
            </w:r>
          </w:p>
          <w:p>
            <w:pPr>
              <w:pStyle w:val="null3"/>
              <w:ind w:left="420"/>
              <w:jc w:val="both"/>
            </w:pPr>
            <w:r>
              <w:rPr>
                <w:rFonts w:ascii="仿宋_GB2312" w:hAnsi="仿宋_GB2312" w:cs="仿宋_GB2312" w:eastAsia="仿宋_GB2312"/>
                <w:sz w:val="20"/>
              </w:rPr>
              <w:t>1、款项结算：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 合同签订 ，达到付款条件起 30 日内，支付合同总金额的 30.00%。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 工程竣工，验收合格 ，达到付款条件起 30 日内，支付合同总金额的 50.00%。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 承包人上报完整、合规的结算资料至发包人，工程结算完毕且结算资料归档后，达到付款条件起 30 日内，支付合同总金额的 20.00%。</w:t>
            </w:r>
          </w:p>
          <w:p>
            <w:pPr>
              <w:pStyle w:val="null3"/>
              <w:jc w:val="both"/>
            </w:pPr>
            <w:r>
              <w:rPr>
                <w:rFonts w:ascii="仿宋_GB2312" w:hAnsi="仿宋_GB2312" w:cs="仿宋_GB2312" w:eastAsia="仿宋_GB2312"/>
                <w:sz w:val="28"/>
                <w:b/>
              </w:rPr>
              <w:t xml:space="preserve">   四、其他</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0"/>
              </w:rPr>
              <w:t>1、质量验收标准或规范</w:t>
            </w:r>
          </w:p>
          <w:p>
            <w:pPr>
              <w:pStyle w:val="null3"/>
              <w:ind w:firstLine="400"/>
              <w:jc w:val="both"/>
            </w:pPr>
            <w:r>
              <w:rPr>
                <w:rFonts w:ascii="仿宋_GB2312" w:hAnsi="仿宋_GB2312" w:cs="仿宋_GB2312" w:eastAsia="仿宋_GB2312"/>
                <w:sz w:val="20"/>
              </w:rPr>
              <w:t>质量标准：达到国家规定的“合格”标准</w:t>
            </w:r>
          </w:p>
          <w:p>
            <w:pPr>
              <w:pStyle w:val="null3"/>
              <w:ind w:firstLine="400"/>
              <w:jc w:val="both"/>
            </w:pPr>
            <w:r>
              <w:rPr>
                <w:rFonts w:ascii="仿宋_GB2312" w:hAnsi="仿宋_GB2312" w:cs="仿宋_GB2312" w:eastAsia="仿宋_GB2312"/>
                <w:sz w:val="20"/>
              </w:rPr>
              <w:t>验收标准或规范：达到国家标准，行业标准及采购人要求。</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color w:val="000000"/>
              </w:rPr>
              <w:t>违约责任</w:t>
            </w:r>
          </w:p>
          <w:p>
            <w:pPr>
              <w:pStyle w:val="null3"/>
              <w:jc w:val="both"/>
            </w:pPr>
            <w:r>
              <w:rPr>
                <w:rFonts w:ascii="仿宋_GB2312" w:hAnsi="仿宋_GB2312" w:cs="仿宋_GB2312" w:eastAsia="仿宋_GB2312"/>
                <w:sz w:val="20"/>
              </w:rPr>
              <w:t>未按合同要求提供服务，发包方会同监督机构有权终止合同，对承包方违约行为进行追究，同时按政府采购法的有关规定进行相应的处罚。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质量标准：达到国家规定的“合格”标准。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1、根据陕西省财政厅关于持续优化政府采购营商环境有关事项的通知--陕财办采〔2024〕9 号的要求，采购人应在中标(成交)通知书发出之日起25日内，按照采购文件确定的事项与中标(成交)供应商签订政府采购合同。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资质情况</w:t>
            </w:r>
          </w:p>
        </w:tc>
        <w:tc>
          <w:tcPr>
            <w:tcW w:type="dxa" w:w="3322"/>
          </w:tcPr>
          <w:p>
            <w:pPr>
              <w:pStyle w:val="null3"/>
            </w:pPr>
            <w:r>
              <w:rPr>
                <w:rFonts w:ascii="仿宋_GB2312" w:hAnsi="仿宋_GB2312" w:cs="仿宋_GB2312" w:eastAsia="仿宋_GB2312"/>
              </w:rPr>
              <w:t>须提供建设行政主管部门颁发建筑工程施工总承包三级（含三级）及以上资质，并具有合格有效的安全生产许可证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拟派项目经理须具备建筑工程专业二级（含二级）及以上注册建造师及安全生产考核合格证书，在本单位注册且无在建工程（提供无在建工程承诺书）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供应商及项目经理基本信息</w:t>
            </w:r>
          </w:p>
        </w:tc>
        <w:tc>
          <w:tcPr>
            <w:tcW w:type="dxa" w:w="3322"/>
          </w:tcPr>
          <w:p>
            <w:pPr>
              <w:pStyle w:val="null3"/>
            </w:pPr>
            <w:r>
              <w:rPr>
                <w:rFonts w:ascii="仿宋_GB2312" w:hAnsi="仿宋_GB2312" w:cs="仿宋_GB2312" w:eastAsia="仿宋_GB2312"/>
              </w:rPr>
              <w:t>供应商在“陕西省住房和城乡建设厅（http://js.shaanxi.gov.cn/）可查询到企业及项目负责人（项目经理）基本信息</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授权委托情况</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法定代表人参加磋商的，须提供本人身份证复印件（附在响应文件中）；法定代表人授权他人参加磋商的，须提供法定代表人授权委托书。非法人单位参照执行</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项目经理和项目部组成方案</w:t>
            </w:r>
          </w:p>
        </w:tc>
        <w:tc>
          <w:tcPr>
            <w:tcW w:type="dxa" w:w="2492"/>
          </w:tcPr>
          <w:p>
            <w:pPr>
              <w:pStyle w:val="null3"/>
            </w:pPr>
            <w:r>
              <w:rPr>
                <w:rFonts w:ascii="仿宋_GB2312" w:hAnsi="仿宋_GB2312" w:cs="仿宋_GB2312" w:eastAsia="仿宋_GB2312"/>
              </w:rPr>
              <w:t>根据供应商提供的项目人员情况进行评审如项目经理、技术负责人、施工员、资料员等人员配备方案由磋商小组进行综合评审。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施工方案和方法比较合理和规范，有较强的可操作性得5分； 施工方案和方法相对合理和规范，有相对较强的可操作性得4分； 施工方案和方法基本合理，有一定的可操作性得3分；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进度计划和工期目标（供应商提供施工计划网络图或横道图）方案</w:t>
            </w:r>
          </w:p>
        </w:tc>
        <w:tc>
          <w:tcPr>
            <w:tcW w:type="dxa" w:w="2492"/>
          </w:tcPr>
          <w:p>
            <w:pPr>
              <w:pStyle w:val="null3"/>
            </w:pPr>
            <w:r>
              <w:rPr>
                <w:rFonts w:ascii="仿宋_GB2312" w:hAnsi="仿宋_GB2312" w:cs="仿宋_GB2312" w:eastAsia="仿宋_GB2312"/>
              </w:rPr>
              <w:t>根据供应商提供的工期目标规划、施工总进度计划、进度计划实施工具方案等，由磋商小组进行综合评审。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提供自2022年1月1日至今的类似项目业绩，每提供1份类似项目业绩（以合同签订时间为准）得2分，满分10分。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经评委会一致认定满足竞争性磋商文件要求且磋商价格最低的磋商报价为评标基准价，其价格得分计30分。 其他供应商的价格得分统一按公式计算： 报价得分＝评标基准价÷磋商报价×30 注：对于经主管预算单位统筹后未预留份额专门面向中小企业采购的采购项目，以及预留份额项目中的非预留部分采购包，对符合《政府采购促进中小企业发展管理办法》（财库〔2020〕46号）规定的小微企业报价给予5%的扣除，用扣除后的价格参加评审。承接本项目的投标人符合相应条件时，给予5%的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5%的扣除，用扣除后的价格参加评审。承接本项目的供应商符合相应条件时，给予5%的价格扣除，即：评标价=最后报价×（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详见附件：合同文本--西安市第三十四中学专项提升08.12.docx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