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版本号：LZBD2025-146020250821002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LZBD2025-1460</w:t>
      </w:r>
      <w:r>
        <w:br/>
      </w:r>
      <w:r>
        <w:br/>
      </w:r>
      <w:r>
        <w:br/>
      </w:r>
    </w:p>
    <w:p>
      <w:pPr>
        <w:pStyle w:val="null3"/>
        <w:jc w:val="center"/>
        <w:outlineLvl w:val="2"/>
      </w:pPr>
      <w:r>
        <w:rPr>
          <w:rFonts w:ascii="仿宋_GB2312" w:hAnsi="仿宋_GB2312" w:cs="仿宋_GB2312" w:eastAsia="仿宋_GB2312"/>
          <w:sz w:val="28"/>
          <w:b/>
        </w:rPr>
        <w:t>西安市浐灞欧亚中学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西安市浐灞欧亚中学</w:t>
      </w:r>
      <w:r>
        <w:rPr>
          <w:rFonts w:ascii="仿宋_GB2312" w:hAnsi="仿宋_GB2312" w:cs="仿宋_GB2312" w:eastAsia="仿宋_GB2312"/>
        </w:rPr>
        <w:t>委托，拟对</w:t>
      </w:r>
      <w:r>
        <w:rPr>
          <w:rFonts w:ascii="仿宋_GB2312" w:hAnsi="仿宋_GB2312" w:cs="仿宋_GB2312" w:eastAsia="仿宋_GB2312"/>
        </w:rPr>
        <w:t>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LZBD2025-1460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为师生提供优美整洁的学习生活环境，提高后勤服务质量，拟采购物业服务一项，具体详见采购文件。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或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供应商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西安市浐灞欧亚中学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西安市浐灞生态区金桥六路1111号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赵白鸽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029-89518580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采购包1：1,173,120.00元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及《关于进一步放开建设项目专业服务价格的通知》（发改价格〔2015〕299号）的有关规定收取。2、成交单位在领取成交通知书之前，须向代理机构支付招标代理服务费。3、招标代理服务费以转账或现金形式缴纳至以下账户：开户名称：龙寰项目管理咨询有限公司，开户银行：平安银行西安高新路支行，账号：30201278017364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西安市浐灞欧亚中学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西安市浐灞欧亚中学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西安市浐灞欧亚中学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联系人：徐小宁、李敏</w:t>
      </w:r>
    </w:p>
    <w:p>
      <w:pPr>
        <w:pStyle w:val="null3"/>
      </w:pPr>
      <w:r>
        <w:rPr>
          <w:rFonts w:ascii="仿宋_GB2312" w:hAnsi="仿宋_GB2312" w:cs="仿宋_GB2312" w:eastAsia="仿宋_GB2312"/>
        </w:rPr>
        <w:t>联系电话：029-888228899-647</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为师生提供优美整洁的学习生活环境，提高后勤服务质量，拟采购物业服务一项，具体详见采购文件。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1,173,120.00</w:t>
      </w:r>
    </w:p>
    <w:p>
      <w:pPr>
        <w:pStyle w:val="null3"/>
      </w:pPr>
      <w:r>
        <w:rPr>
          <w:rFonts w:ascii="仿宋_GB2312" w:hAnsi="仿宋_GB2312" w:cs="仿宋_GB2312" w:eastAsia="仿宋_GB2312"/>
        </w:rPr>
        <w:t>采购包最高限价（元）: 1,173,120.00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西安市浐灞欧亚中学物业服务项目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1,173,120.00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标的名称：西安市浐灞欧亚中学物业服务项目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6"/>
              </w:rPr>
              <w:t>一、服务内容</w:t>
            </w:r>
          </w:p>
          <w:p>
            <w:pPr>
              <w:pStyle w:val="null3"/>
            </w:pPr>
            <w:r>
              <w:rPr>
                <w:rFonts w:ascii="仿宋_GB2312" w:hAnsi="仿宋_GB2312" w:cs="仿宋_GB2312" w:eastAsia="仿宋_GB2312"/>
                <w:sz w:val="16"/>
                <w:b/>
              </w:rPr>
              <w:t>（一）西安市浐灞欧亚中学的建筑物、道路、操场等配套公共场地的设施设备日常运行维修管理。</w:t>
            </w:r>
          </w:p>
          <w:p>
            <w:pPr>
              <w:pStyle w:val="null3"/>
            </w:pPr>
            <w:r>
              <w:rPr>
                <w:rFonts w:ascii="仿宋_GB2312" w:hAnsi="仿宋_GB2312" w:cs="仿宋_GB2312" w:eastAsia="仿宋_GB2312"/>
                <w:sz w:val="16"/>
              </w:rPr>
              <w:t>1、设备运行：西安市浐灞欧亚中学水、电、空调、配电系统日常检查及运行，保障配电室、泵房设备正常运转，应经常进行巡视，并做好巡视记录。</w:t>
            </w:r>
          </w:p>
          <w:p>
            <w:pPr>
              <w:pStyle w:val="null3"/>
            </w:pPr>
            <w:r>
              <w:rPr>
                <w:rFonts w:ascii="仿宋_GB2312" w:hAnsi="仿宋_GB2312" w:cs="仿宋_GB2312" w:eastAsia="仿宋_GB2312"/>
                <w:sz w:val="16"/>
              </w:rPr>
              <w:t>2、设备检修：室内线路、照明设施的维修、更换，插座、开关的维修、更换，水龙头的更换，管道平时的检查、维修，建筑室内管道设施使用中不跑、冒、滴、漏。</w:t>
            </w:r>
          </w:p>
          <w:p>
            <w:pPr>
              <w:pStyle w:val="null3"/>
            </w:pPr>
            <w:r>
              <w:rPr>
                <w:rFonts w:ascii="仿宋_GB2312" w:hAnsi="仿宋_GB2312" w:cs="仿宋_GB2312" w:eastAsia="仿宋_GB2312"/>
                <w:sz w:val="16"/>
              </w:rPr>
              <w:t>3、维修巡检：负责西安市浐灞欧亚中学共用设施设备的每日巡检，及时处理校内报修问题、对相关设备间定期巡查，室内桌椅的定期检查及集中维修等。</w:t>
            </w:r>
          </w:p>
          <w:p>
            <w:pPr>
              <w:pStyle w:val="null3"/>
            </w:pPr>
            <w:r>
              <w:rPr>
                <w:rFonts w:ascii="仿宋_GB2312" w:hAnsi="仿宋_GB2312" w:cs="仿宋_GB2312" w:eastAsia="仿宋_GB2312"/>
                <w:sz w:val="16"/>
              </w:rPr>
              <w:t>4、西安市浐灞欧亚中学的各类活动、接待配合性工作。</w:t>
            </w:r>
          </w:p>
          <w:p>
            <w:pPr>
              <w:pStyle w:val="null3"/>
            </w:pPr>
            <w:r>
              <w:rPr>
                <w:rFonts w:ascii="仿宋_GB2312" w:hAnsi="仿宋_GB2312" w:cs="仿宋_GB2312" w:eastAsia="仿宋_GB2312"/>
                <w:sz w:val="16"/>
              </w:rPr>
              <w:t>5、西安市浐灞欧亚中学的临时性事务工作。</w:t>
            </w:r>
          </w:p>
          <w:p>
            <w:pPr>
              <w:pStyle w:val="null3"/>
            </w:pPr>
            <w:r>
              <w:rPr>
                <w:rFonts w:ascii="仿宋_GB2312" w:hAnsi="仿宋_GB2312" w:cs="仿宋_GB2312" w:eastAsia="仿宋_GB2312"/>
                <w:sz w:val="16"/>
                <w:b/>
              </w:rPr>
              <w:t>(二）对西安市浐灞欧亚中学内的公共区域、公共场地的卫生进行保洁管理</w:t>
            </w:r>
            <w:r>
              <w:rPr>
                <w:rFonts w:ascii="仿宋_GB2312" w:hAnsi="仿宋_GB2312" w:cs="仿宋_GB2312" w:eastAsia="仿宋_GB2312"/>
                <w:sz w:val="16"/>
              </w:rPr>
              <w:t>。</w:t>
            </w:r>
          </w:p>
          <w:p>
            <w:pPr>
              <w:pStyle w:val="null3"/>
            </w:pPr>
            <w:r>
              <w:rPr>
                <w:rFonts w:ascii="仿宋_GB2312" w:hAnsi="仿宋_GB2312" w:cs="仿宋_GB2312" w:eastAsia="仿宋_GB2312"/>
                <w:sz w:val="16"/>
              </w:rPr>
              <w:t>1、西安市浐灞欧亚中学内（建筑面积18364.08平方米）：公共区域本物业区内公共环境（包括公共场地、房屋建筑物共用部位）的清洁卫生，公共卫生间、报告厅、体育馆、接待室、会议室的保洁（公寓楼除外）；</w:t>
            </w:r>
          </w:p>
          <w:p>
            <w:pPr>
              <w:pStyle w:val="null3"/>
            </w:pPr>
            <w:r>
              <w:rPr>
                <w:rFonts w:ascii="仿宋_GB2312" w:hAnsi="仿宋_GB2312" w:cs="仿宋_GB2312" w:eastAsia="仿宋_GB2312"/>
                <w:sz w:val="16"/>
              </w:rPr>
              <w:t>2、西安市浐灞欧亚中学外围所有公共区域的保洁。外围路面、三层平台、体育馆周边清扫，停车位的清掏、绿化带垃圾捡拾、休息座椅擦拭、路灯杆擦拭；</w:t>
            </w:r>
          </w:p>
          <w:p>
            <w:pPr>
              <w:pStyle w:val="null3"/>
            </w:pPr>
            <w:r>
              <w:rPr>
                <w:rFonts w:ascii="仿宋_GB2312" w:hAnsi="仿宋_GB2312" w:cs="仿宋_GB2312" w:eastAsia="仿宋_GB2312"/>
                <w:sz w:val="16"/>
              </w:rPr>
              <w:t>3、西安市浐灞欧亚中学公共垃圾的清运（不包含餐饮垃圾及建筑垃圾）。</w:t>
            </w:r>
          </w:p>
          <w:p>
            <w:pPr>
              <w:pStyle w:val="null3"/>
            </w:pPr>
            <w:r>
              <w:rPr>
                <w:rFonts w:ascii="仿宋_GB2312" w:hAnsi="仿宋_GB2312" w:cs="仿宋_GB2312" w:eastAsia="仿宋_GB2312"/>
                <w:sz w:val="16"/>
              </w:rPr>
              <w:t>4、西安市浐灞欧亚中学垃圾分类工作的配合。</w:t>
            </w:r>
          </w:p>
          <w:p>
            <w:pPr>
              <w:pStyle w:val="null3"/>
            </w:pPr>
            <w:r>
              <w:rPr>
                <w:rFonts w:ascii="仿宋_GB2312" w:hAnsi="仿宋_GB2312" w:cs="仿宋_GB2312" w:eastAsia="仿宋_GB2312"/>
                <w:sz w:val="16"/>
              </w:rPr>
              <w:t>5、校园公共区域防疫消杀的管理。</w:t>
            </w:r>
          </w:p>
          <w:p>
            <w:pPr>
              <w:pStyle w:val="null3"/>
            </w:pPr>
            <w:r>
              <w:rPr>
                <w:rFonts w:ascii="仿宋_GB2312" w:hAnsi="仿宋_GB2312" w:cs="仿宋_GB2312" w:eastAsia="仿宋_GB2312"/>
                <w:sz w:val="16"/>
                <w:b/>
              </w:rPr>
              <w:t>（三）绿化养护服务</w:t>
            </w:r>
          </w:p>
          <w:p>
            <w:pPr>
              <w:pStyle w:val="null3"/>
            </w:pPr>
            <w:r>
              <w:rPr>
                <w:rFonts w:ascii="仿宋_GB2312" w:hAnsi="仿宋_GB2312" w:cs="仿宋_GB2312" w:eastAsia="仿宋_GB2312"/>
                <w:sz w:val="16"/>
              </w:rPr>
              <w:t>项目外围绿化包括灌木及草坪，乔木的修剪、花木施肥、喷洒农药、枯叶清掏等工作（绿化面积约</w:t>
            </w:r>
            <w:r>
              <w:rPr>
                <w:rFonts w:ascii="仿宋_GB2312" w:hAnsi="仿宋_GB2312" w:cs="仿宋_GB2312" w:eastAsia="仿宋_GB2312"/>
                <w:sz w:val="16"/>
              </w:rPr>
              <w:t>8300平方米）。</w:t>
            </w:r>
          </w:p>
          <w:p>
            <w:pPr>
              <w:pStyle w:val="null3"/>
            </w:pPr>
            <w:r>
              <w:rPr>
                <w:rFonts w:ascii="仿宋_GB2312" w:hAnsi="仿宋_GB2312" w:cs="仿宋_GB2312" w:eastAsia="仿宋_GB2312"/>
                <w:sz w:val="16"/>
                <w:b/>
              </w:rPr>
              <w:t>（四）综合服务及现场管理</w:t>
            </w:r>
          </w:p>
          <w:p>
            <w:pPr>
              <w:pStyle w:val="null3"/>
            </w:pPr>
            <w:r>
              <w:rPr>
                <w:rFonts w:ascii="仿宋_GB2312" w:hAnsi="仿宋_GB2312" w:cs="仿宋_GB2312" w:eastAsia="仿宋_GB2312"/>
                <w:sz w:val="16"/>
              </w:rPr>
              <w:t>1、西安市浐灞欧亚中学重要接待的物业服务保障工作。</w:t>
            </w:r>
          </w:p>
          <w:p>
            <w:pPr>
              <w:pStyle w:val="null3"/>
            </w:pPr>
            <w:r>
              <w:rPr>
                <w:rFonts w:ascii="仿宋_GB2312" w:hAnsi="仿宋_GB2312" w:cs="仿宋_GB2312" w:eastAsia="仿宋_GB2312"/>
                <w:sz w:val="16"/>
              </w:rPr>
              <w:t>2、西安市浐灞欧亚中学各类活动的物业服务保障工作。</w:t>
            </w:r>
          </w:p>
          <w:p>
            <w:pPr>
              <w:pStyle w:val="null3"/>
            </w:pPr>
            <w:r>
              <w:rPr>
                <w:rFonts w:ascii="仿宋_GB2312" w:hAnsi="仿宋_GB2312" w:cs="仿宋_GB2312" w:eastAsia="仿宋_GB2312"/>
                <w:sz w:val="16"/>
              </w:rPr>
              <w:t>3、其它临时性工作。</w:t>
            </w:r>
          </w:p>
          <w:p>
            <w:pPr>
              <w:pStyle w:val="null3"/>
            </w:pPr>
            <w:r>
              <w:rPr>
                <w:rFonts w:ascii="仿宋_GB2312" w:hAnsi="仿宋_GB2312" w:cs="仿宋_GB2312" w:eastAsia="仿宋_GB2312"/>
                <w:sz w:val="16"/>
              </w:rPr>
              <w:t>二、技术要求</w:t>
            </w:r>
          </w:p>
          <w:p>
            <w:pPr>
              <w:pStyle w:val="null3"/>
            </w:pPr>
            <w:r>
              <w:rPr>
                <w:rFonts w:ascii="仿宋_GB2312" w:hAnsi="仿宋_GB2312" w:cs="仿宋_GB2312" w:eastAsia="仿宋_GB2312"/>
                <w:sz w:val="16"/>
              </w:rPr>
              <w:t>校区公共区域及室外区域的环境保洁服务及工程管理服务，满足校方日常工作需求。</w:t>
            </w:r>
          </w:p>
          <w:p>
            <w:pPr>
              <w:pStyle w:val="null3"/>
            </w:pPr>
            <w:r>
              <w:rPr>
                <w:rFonts w:ascii="仿宋_GB2312" w:hAnsi="仿宋_GB2312" w:cs="仿宋_GB2312" w:eastAsia="仿宋_GB2312"/>
                <w:sz w:val="16"/>
                <w:b/>
              </w:rPr>
              <w:t>三、服务要求</w:t>
            </w:r>
          </w:p>
          <w:p>
            <w:pPr>
              <w:pStyle w:val="null3"/>
            </w:pPr>
            <w:r>
              <w:rPr>
                <w:rFonts w:ascii="仿宋_GB2312" w:hAnsi="仿宋_GB2312" w:cs="仿宋_GB2312" w:eastAsia="仿宋_GB2312"/>
                <w:sz w:val="16"/>
              </w:rPr>
              <w:t>（一）工程维修标准</w:t>
            </w:r>
          </w:p>
          <w:p>
            <w:pPr>
              <w:pStyle w:val="null3"/>
            </w:pPr>
            <w:r>
              <w:rPr>
                <w:rFonts w:ascii="仿宋_GB2312" w:hAnsi="仿宋_GB2312" w:cs="仿宋_GB2312" w:eastAsia="仿宋_GB2312"/>
                <w:sz w:val="16"/>
              </w:rPr>
              <w:t>1.配电柜内无异物，母线、电缆线之间联接处接触良好，电器开关完好无损；</w:t>
            </w:r>
          </w:p>
          <w:p>
            <w:pPr>
              <w:pStyle w:val="null3"/>
            </w:pPr>
            <w:r>
              <w:rPr>
                <w:rFonts w:ascii="仿宋_GB2312" w:hAnsi="仿宋_GB2312" w:cs="仿宋_GB2312" w:eastAsia="仿宋_GB2312"/>
                <w:sz w:val="16"/>
              </w:rPr>
              <w:t>2.照明：保障日常使用的前提下节约能源，灯具损坏及时维修；</w:t>
            </w:r>
          </w:p>
          <w:p>
            <w:pPr>
              <w:pStyle w:val="null3"/>
            </w:pPr>
            <w:r>
              <w:rPr>
                <w:rFonts w:ascii="仿宋_GB2312" w:hAnsi="仿宋_GB2312" w:cs="仿宋_GB2312" w:eastAsia="仿宋_GB2312"/>
                <w:sz w:val="16"/>
              </w:rPr>
              <w:t>3.建筑室内管道设施使用中不跑、冒、滴、漏；</w:t>
            </w:r>
          </w:p>
          <w:p>
            <w:pPr>
              <w:pStyle w:val="null3"/>
            </w:pPr>
            <w:r>
              <w:rPr>
                <w:rFonts w:ascii="仿宋_GB2312" w:hAnsi="仿宋_GB2312" w:cs="仿宋_GB2312" w:eastAsia="仿宋_GB2312"/>
                <w:sz w:val="16"/>
              </w:rPr>
              <w:t>4.保障配电室、泵房设备正常运转，应经常进行巡视，并做好巡视记录，每天不少于2次。</w:t>
            </w:r>
          </w:p>
          <w:p>
            <w:pPr>
              <w:pStyle w:val="null3"/>
            </w:pPr>
            <w:r>
              <w:rPr>
                <w:rFonts w:ascii="仿宋_GB2312" w:hAnsi="仿宋_GB2312" w:cs="仿宋_GB2312" w:eastAsia="仿宋_GB2312"/>
                <w:sz w:val="16"/>
              </w:rPr>
              <w:t>（二）保洁服务标准</w:t>
            </w:r>
          </w:p>
          <w:p>
            <w:pPr>
              <w:pStyle w:val="null3"/>
            </w:pPr>
            <w:r>
              <w:rPr>
                <w:rFonts w:ascii="仿宋_GB2312" w:hAnsi="仿宋_GB2312" w:cs="仿宋_GB2312" w:eastAsia="仿宋_GB2312"/>
                <w:sz w:val="16"/>
              </w:rPr>
              <w:t>1.公共区域保洁管理要求</w:t>
            </w:r>
          </w:p>
          <w:p>
            <w:pPr>
              <w:pStyle w:val="null3"/>
            </w:pPr>
            <w:r>
              <w:rPr>
                <w:rFonts w:ascii="仿宋_GB2312" w:hAnsi="仿宋_GB2312" w:cs="仿宋_GB2312" w:eastAsia="仿宋_GB2312"/>
                <w:sz w:val="16"/>
              </w:rPr>
              <w:t>（</w:t>
            </w:r>
            <w:r>
              <w:rPr>
                <w:rFonts w:ascii="仿宋_GB2312" w:hAnsi="仿宋_GB2312" w:cs="仿宋_GB2312" w:eastAsia="仿宋_GB2312"/>
                <w:sz w:val="16"/>
              </w:rPr>
              <w:t>1）地面干净、光亮，无污渍、无水渍、无杂物；</w:t>
            </w:r>
          </w:p>
          <w:p>
            <w:pPr>
              <w:pStyle w:val="null3"/>
            </w:pPr>
            <w:r>
              <w:rPr>
                <w:rFonts w:ascii="仿宋_GB2312" w:hAnsi="仿宋_GB2312" w:cs="仿宋_GB2312" w:eastAsia="仿宋_GB2312"/>
                <w:sz w:val="16"/>
              </w:rPr>
              <w:t>（</w:t>
            </w:r>
            <w:r>
              <w:rPr>
                <w:rFonts w:ascii="仿宋_GB2312" w:hAnsi="仿宋_GB2312" w:cs="仿宋_GB2312" w:eastAsia="仿宋_GB2312"/>
                <w:sz w:val="16"/>
              </w:rPr>
              <w:t>2）各类指示牌干净无尘，无污迹；</w:t>
            </w:r>
          </w:p>
          <w:p>
            <w:pPr>
              <w:pStyle w:val="null3"/>
            </w:pPr>
            <w:r>
              <w:rPr>
                <w:rFonts w:ascii="仿宋_GB2312" w:hAnsi="仿宋_GB2312" w:cs="仿宋_GB2312" w:eastAsia="仿宋_GB2312"/>
                <w:sz w:val="16"/>
              </w:rPr>
              <w:t>（</w:t>
            </w:r>
            <w:r>
              <w:rPr>
                <w:rFonts w:ascii="仿宋_GB2312" w:hAnsi="仿宋_GB2312" w:cs="仿宋_GB2312" w:eastAsia="仿宋_GB2312"/>
                <w:sz w:val="16"/>
              </w:rPr>
              <w:t>3）楼梯扶手干净无尘，无污迹、无手印；</w:t>
            </w:r>
          </w:p>
          <w:p>
            <w:pPr>
              <w:pStyle w:val="null3"/>
            </w:pPr>
            <w:r>
              <w:rPr>
                <w:rFonts w:ascii="仿宋_GB2312" w:hAnsi="仿宋_GB2312" w:cs="仿宋_GB2312" w:eastAsia="仿宋_GB2312"/>
                <w:sz w:val="16"/>
              </w:rPr>
              <w:t>（</w:t>
            </w:r>
            <w:r>
              <w:rPr>
                <w:rFonts w:ascii="仿宋_GB2312" w:hAnsi="仿宋_GB2312" w:cs="仿宋_GB2312" w:eastAsia="仿宋_GB2312"/>
                <w:sz w:val="16"/>
              </w:rPr>
              <w:t>4）烟灰桶干净、光亮，无水渍、无污迹、无痰迹；</w:t>
            </w:r>
          </w:p>
          <w:p>
            <w:pPr>
              <w:pStyle w:val="null3"/>
            </w:pPr>
            <w:r>
              <w:rPr>
                <w:rFonts w:ascii="仿宋_GB2312" w:hAnsi="仿宋_GB2312" w:cs="仿宋_GB2312" w:eastAsia="仿宋_GB2312"/>
                <w:sz w:val="16"/>
              </w:rPr>
              <w:t>（</w:t>
            </w:r>
            <w:r>
              <w:rPr>
                <w:rFonts w:ascii="仿宋_GB2312" w:hAnsi="仿宋_GB2312" w:cs="仿宋_GB2312" w:eastAsia="仿宋_GB2312"/>
                <w:sz w:val="16"/>
              </w:rPr>
              <w:t>5）公共区域灯具、天花板、顶棚、出风口无积灰、无结网。</w:t>
            </w:r>
          </w:p>
          <w:p>
            <w:pPr>
              <w:pStyle w:val="null3"/>
            </w:pPr>
            <w:r>
              <w:rPr>
                <w:rFonts w:ascii="仿宋_GB2312" w:hAnsi="仿宋_GB2312" w:cs="仿宋_GB2312" w:eastAsia="仿宋_GB2312"/>
                <w:sz w:val="16"/>
              </w:rPr>
              <w:t>2.公共卫生间保洁管理要求</w:t>
            </w:r>
          </w:p>
          <w:p>
            <w:pPr>
              <w:pStyle w:val="null3"/>
            </w:pPr>
            <w:r>
              <w:rPr>
                <w:rFonts w:ascii="仿宋_GB2312" w:hAnsi="仿宋_GB2312" w:cs="仿宋_GB2312" w:eastAsia="仿宋_GB2312"/>
                <w:sz w:val="16"/>
              </w:rPr>
              <w:t>（</w:t>
            </w:r>
            <w:r>
              <w:rPr>
                <w:rFonts w:ascii="仿宋_GB2312" w:hAnsi="仿宋_GB2312" w:cs="仿宋_GB2312" w:eastAsia="仿宋_GB2312"/>
                <w:sz w:val="16"/>
              </w:rPr>
              <w:t>1）垃圾收集及时；</w:t>
            </w:r>
          </w:p>
          <w:p>
            <w:pPr>
              <w:pStyle w:val="null3"/>
            </w:pPr>
            <w:r>
              <w:rPr>
                <w:rFonts w:ascii="仿宋_GB2312" w:hAnsi="仿宋_GB2312" w:cs="仿宋_GB2312" w:eastAsia="仿宋_GB2312"/>
                <w:sz w:val="16"/>
              </w:rPr>
              <w:t>（</w:t>
            </w:r>
            <w:r>
              <w:rPr>
                <w:rFonts w:ascii="仿宋_GB2312" w:hAnsi="仿宋_GB2312" w:cs="仿宋_GB2312" w:eastAsia="仿宋_GB2312"/>
                <w:sz w:val="16"/>
              </w:rPr>
              <w:t>2）地面清洁，无积水。地漏畅通，无堵塞；</w:t>
            </w:r>
          </w:p>
          <w:p>
            <w:pPr>
              <w:pStyle w:val="null3"/>
            </w:pPr>
            <w:r>
              <w:rPr>
                <w:rFonts w:ascii="仿宋_GB2312" w:hAnsi="仿宋_GB2312" w:cs="仿宋_GB2312" w:eastAsia="仿宋_GB2312"/>
                <w:sz w:val="16"/>
              </w:rPr>
              <w:t>（</w:t>
            </w:r>
            <w:r>
              <w:rPr>
                <w:rFonts w:ascii="仿宋_GB2312" w:hAnsi="仿宋_GB2312" w:cs="仿宋_GB2312" w:eastAsia="仿宋_GB2312"/>
                <w:sz w:val="16"/>
              </w:rPr>
              <w:t>3）墙面、隔断、门、执手等无污迹；</w:t>
            </w:r>
          </w:p>
          <w:p>
            <w:pPr>
              <w:pStyle w:val="null3"/>
            </w:pPr>
            <w:r>
              <w:rPr>
                <w:rFonts w:ascii="仿宋_GB2312" w:hAnsi="仿宋_GB2312" w:cs="仿宋_GB2312" w:eastAsia="仿宋_GB2312"/>
                <w:sz w:val="16"/>
              </w:rPr>
              <w:t>（</w:t>
            </w:r>
            <w:r>
              <w:rPr>
                <w:rFonts w:ascii="仿宋_GB2312" w:hAnsi="仿宋_GB2312" w:cs="仿宋_GB2312" w:eastAsia="仿宋_GB2312"/>
                <w:sz w:val="16"/>
              </w:rPr>
              <w:t>4）便具无积垢、无污迹、无锈迹、无异味；</w:t>
            </w:r>
          </w:p>
          <w:p>
            <w:pPr>
              <w:pStyle w:val="null3"/>
            </w:pPr>
            <w:r>
              <w:rPr>
                <w:rFonts w:ascii="仿宋_GB2312" w:hAnsi="仿宋_GB2312" w:cs="仿宋_GB2312" w:eastAsia="仿宋_GB2312"/>
                <w:sz w:val="16"/>
              </w:rPr>
              <w:t>（</w:t>
            </w:r>
            <w:r>
              <w:rPr>
                <w:rFonts w:ascii="仿宋_GB2312" w:hAnsi="仿宋_GB2312" w:cs="仿宋_GB2312" w:eastAsia="仿宋_GB2312"/>
                <w:sz w:val="16"/>
              </w:rPr>
              <w:t>5）洁具表面光洁、明亮，无污渍；</w:t>
            </w:r>
          </w:p>
          <w:p>
            <w:pPr>
              <w:pStyle w:val="null3"/>
            </w:pPr>
            <w:r>
              <w:rPr>
                <w:rFonts w:ascii="仿宋_GB2312" w:hAnsi="仿宋_GB2312" w:cs="仿宋_GB2312" w:eastAsia="仿宋_GB2312"/>
                <w:sz w:val="16"/>
              </w:rPr>
              <w:t>（</w:t>
            </w:r>
            <w:r>
              <w:rPr>
                <w:rFonts w:ascii="仿宋_GB2312" w:hAnsi="仿宋_GB2312" w:cs="仿宋_GB2312" w:eastAsia="仿宋_GB2312"/>
                <w:sz w:val="16"/>
              </w:rPr>
              <w:t>6）金属水嘴、外露水管、电气开关和插座等表面光亮，无灰尘；</w:t>
            </w:r>
          </w:p>
          <w:p>
            <w:pPr>
              <w:pStyle w:val="null3"/>
            </w:pPr>
            <w:r>
              <w:rPr>
                <w:rFonts w:ascii="仿宋_GB2312" w:hAnsi="仿宋_GB2312" w:cs="仿宋_GB2312" w:eastAsia="仿宋_GB2312"/>
                <w:sz w:val="16"/>
              </w:rPr>
              <w:t>（</w:t>
            </w:r>
            <w:r>
              <w:rPr>
                <w:rFonts w:ascii="仿宋_GB2312" w:hAnsi="仿宋_GB2312" w:cs="仿宋_GB2312" w:eastAsia="仿宋_GB2312"/>
                <w:sz w:val="16"/>
              </w:rPr>
              <w:t>7）垃圾桶表面无污迹、无异味。</w:t>
            </w:r>
          </w:p>
          <w:p>
            <w:pPr>
              <w:pStyle w:val="null3"/>
            </w:pPr>
            <w:r>
              <w:rPr>
                <w:rFonts w:ascii="仿宋_GB2312" w:hAnsi="仿宋_GB2312" w:cs="仿宋_GB2312" w:eastAsia="仿宋_GB2312"/>
                <w:sz w:val="16"/>
              </w:rPr>
              <w:t>3.道路保洁管理要求</w:t>
            </w:r>
          </w:p>
          <w:p>
            <w:pPr>
              <w:pStyle w:val="null3"/>
            </w:pPr>
            <w:r>
              <w:rPr>
                <w:rFonts w:ascii="仿宋_GB2312" w:hAnsi="仿宋_GB2312" w:cs="仿宋_GB2312" w:eastAsia="仿宋_GB2312"/>
                <w:sz w:val="16"/>
              </w:rPr>
              <w:t>（</w:t>
            </w:r>
            <w:r>
              <w:rPr>
                <w:rFonts w:ascii="仿宋_GB2312" w:hAnsi="仿宋_GB2312" w:cs="仿宋_GB2312" w:eastAsia="仿宋_GB2312"/>
                <w:sz w:val="16"/>
              </w:rPr>
              <w:t>1）清扫并随时进行垃圾捡拾；</w:t>
            </w:r>
          </w:p>
          <w:p>
            <w:pPr>
              <w:pStyle w:val="null3"/>
            </w:pPr>
            <w:r>
              <w:rPr>
                <w:rFonts w:ascii="仿宋_GB2312" w:hAnsi="仿宋_GB2312" w:cs="仿宋_GB2312" w:eastAsia="仿宋_GB2312"/>
                <w:sz w:val="16"/>
              </w:rPr>
              <w:t>（</w:t>
            </w:r>
            <w:r>
              <w:rPr>
                <w:rFonts w:ascii="仿宋_GB2312" w:hAnsi="仿宋_GB2312" w:cs="仿宋_GB2312" w:eastAsia="仿宋_GB2312"/>
                <w:sz w:val="16"/>
              </w:rPr>
              <w:t>2）道路保持干净，无积水，无积雪、积冰，晴天无水渍；</w:t>
            </w:r>
          </w:p>
          <w:p>
            <w:pPr>
              <w:pStyle w:val="null3"/>
            </w:pPr>
            <w:r>
              <w:rPr>
                <w:rFonts w:ascii="仿宋_GB2312" w:hAnsi="仿宋_GB2312" w:cs="仿宋_GB2312" w:eastAsia="仿宋_GB2312"/>
                <w:sz w:val="16"/>
              </w:rPr>
              <w:t>（</w:t>
            </w:r>
            <w:r>
              <w:rPr>
                <w:rFonts w:ascii="仿宋_GB2312" w:hAnsi="仿宋_GB2312" w:cs="仿宋_GB2312" w:eastAsia="仿宋_GB2312"/>
                <w:sz w:val="16"/>
              </w:rPr>
              <w:t>3）明沟无杂物，无积水；</w:t>
            </w:r>
          </w:p>
          <w:p>
            <w:pPr>
              <w:pStyle w:val="null3"/>
            </w:pPr>
            <w:r>
              <w:rPr>
                <w:rFonts w:ascii="仿宋_GB2312" w:hAnsi="仿宋_GB2312" w:cs="仿宋_GB2312" w:eastAsia="仿宋_GB2312"/>
                <w:sz w:val="16"/>
              </w:rPr>
              <w:t>（</w:t>
            </w:r>
            <w:r>
              <w:rPr>
                <w:rFonts w:ascii="仿宋_GB2312" w:hAnsi="仿宋_GB2312" w:cs="仿宋_GB2312" w:eastAsia="仿宋_GB2312"/>
                <w:sz w:val="16"/>
              </w:rPr>
              <w:t>4）座椅、灯柱、告示牌等设施干净、明亮；</w:t>
            </w:r>
          </w:p>
          <w:p>
            <w:pPr>
              <w:pStyle w:val="null3"/>
            </w:pPr>
            <w:r>
              <w:rPr>
                <w:rFonts w:ascii="仿宋_GB2312" w:hAnsi="仿宋_GB2312" w:cs="仿宋_GB2312" w:eastAsia="仿宋_GB2312"/>
                <w:sz w:val="16"/>
              </w:rPr>
              <w:t>（</w:t>
            </w:r>
            <w:r>
              <w:rPr>
                <w:rFonts w:ascii="仿宋_GB2312" w:hAnsi="仿宋_GB2312" w:cs="仿宋_GB2312" w:eastAsia="仿宋_GB2312"/>
                <w:sz w:val="16"/>
              </w:rPr>
              <w:t>5）绿化带、花坛、盆栽植物内无杂物；</w:t>
            </w:r>
          </w:p>
          <w:p>
            <w:pPr>
              <w:pStyle w:val="null3"/>
            </w:pPr>
            <w:r>
              <w:rPr>
                <w:rFonts w:ascii="仿宋_GB2312" w:hAnsi="仿宋_GB2312" w:cs="仿宋_GB2312" w:eastAsia="仿宋_GB2312"/>
                <w:sz w:val="16"/>
              </w:rPr>
              <w:t>（</w:t>
            </w:r>
            <w:r>
              <w:rPr>
                <w:rFonts w:ascii="仿宋_GB2312" w:hAnsi="仿宋_GB2312" w:cs="仿宋_GB2312" w:eastAsia="仿宋_GB2312"/>
                <w:sz w:val="16"/>
              </w:rPr>
              <w:t>6）及时进行垃圾收集及清运；</w:t>
            </w:r>
          </w:p>
          <w:p>
            <w:pPr>
              <w:pStyle w:val="null3"/>
            </w:pPr>
            <w:r>
              <w:rPr>
                <w:rFonts w:ascii="仿宋_GB2312" w:hAnsi="仿宋_GB2312" w:cs="仿宋_GB2312" w:eastAsia="仿宋_GB2312"/>
                <w:sz w:val="16"/>
              </w:rPr>
              <w:t>（</w:t>
            </w:r>
            <w:r>
              <w:rPr>
                <w:rFonts w:ascii="仿宋_GB2312" w:hAnsi="仿宋_GB2312" w:cs="仿宋_GB2312" w:eastAsia="仿宋_GB2312"/>
                <w:sz w:val="16"/>
              </w:rPr>
              <w:t>7）保洁人员需培训上岗，在岗期间杜绝脱岗严禁从事与保洁业务无关的工作，包括但不限于抽烟，打架，盗窃等行为。</w:t>
            </w:r>
          </w:p>
          <w:p>
            <w:pPr>
              <w:pStyle w:val="null3"/>
            </w:pPr>
            <w:r>
              <w:rPr>
                <w:rFonts w:ascii="仿宋_GB2312" w:hAnsi="仿宋_GB2312" w:cs="仿宋_GB2312" w:eastAsia="仿宋_GB2312"/>
                <w:sz w:val="16"/>
              </w:rPr>
              <w:t>（三）绿化养护标准</w:t>
            </w:r>
          </w:p>
          <w:p>
            <w:pPr>
              <w:pStyle w:val="null3"/>
            </w:pPr>
            <w:r>
              <w:rPr>
                <w:rFonts w:ascii="仿宋_GB2312" w:hAnsi="仿宋_GB2312" w:cs="仿宋_GB2312" w:eastAsia="仿宋_GB2312"/>
                <w:sz w:val="16"/>
              </w:rPr>
              <w:t>1、乔木养护管理标准</w:t>
            </w:r>
          </w:p>
          <w:p>
            <w:pPr>
              <w:pStyle w:val="null3"/>
            </w:pPr>
            <w:r>
              <w:rPr>
                <w:rFonts w:ascii="仿宋_GB2312" w:hAnsi="仿宋_GB2312" w:cs="仿宋_GB2312" w:eastAsia="仿宋_GB2312"/>
                <w:sz w:val="16"/>
              </w:rPr>
              <w:t>（</w:t>
            </w:r>
            <w:r>
              <w:rPr>
                <w:rFonts w:ascii="仿宋_GB2312" w:hAnsi="仿宋_GB2312" w:cs="仿宋_GB2312" w:eastAsia="仿宋_GB2312"/>
                <w:sz w:val="16"/>
              </w:rPr>
              <w:t>1）生长势正常，枝叶正常，无枯枝残叶；</w:t>
            </w:r>
          </w:p>
          <w:p>
            <w:pPr>
              <w:pStyle w:val="null3"/>
            </w:pPr>
            <w:r>
              <w:rPr>
                <w:rFonts w:ascii="仿宋_GB2312" w:hAnsi="仿宋_GB2312" w:cs="仿宋_GB2312" w:eastAsia="仿宋_GB2312"/>
                <w:sz w:val="16"/>
              </w:rPr>
              <w:t>（</w:t>
            </w:r>
            <w:r>
              <w:rPr>
                <w:rFonts w:ascii="仿宋_GB2312" w:hAnsi="仿宋_GB2312" w:cs="仿宋_GB2312" w:eastAsia="仿宋_GB2312"/>
                <w:sz w:val="16"/>
              </w:rPr>
              <w:t>2）充分考虑树木与环境的关系，依据树龄及生长势强弱及时进行修剪；</w:t>
            </w:r>
          </w:p>
          <w:p>
            <w:pPr>
              <w:pStyle w:val="null3"/>
            </w:pPr>
            <w:r>
              <w:rPr>
                <w:rFonts w:ascii="仿宋_GB2312" w:hAnsi="仿宋_GB2312" w:cs="仿宋_GB2312" w:eastAsia="仿宋_GB2312"/>
                <w:sz w:val="16"/>
              </w:rPr>
              <w:t>（</w:t>
            </w:r>
            <w:r>
              <w:rPr>
                <w:rFonts w:ascii="仿宋_GB2312" w:hAnsi="仿宋_GB2312" w:cs="仿宋_GB2312" w:eastAsia="仿宋_GB2312"/>
                <w:sz w:val="16"/>
              </w:rPr>
              <w:t>3）及时灌溉、施肥，病虫害防治，以防为主，精心管理，早发现早处理；</w:t>
            </w:r>
          </w:p>
          <w:p>
            <w:pPr>
              <w:pStyle w:val="null3"/>
            </w:pPr>
            <w:r>
              <w:rPr>
                <w:rFonts w:ascii="仿宋_GB2312" w:hAnsi="仿宋_GB2312" w:cs="仿宋_GB2312" w:eastAsia="仿宋_GB2312"/>
                <w:sz w:val="16"/>
              </w:rPr>
              <w:t>（</w:t>
            </w:r>
            <w:r>
              <w:rPr>
                <w:rFonts w:ascii="仿宋_GB2312" w:hAnsi="仿宋_GB2312" w:cs="仿宋_GB2312" w:eastAsia="仿宋_GB2312"/>
                <w:sz w:val="16"/>
              </w:rPr>
              <w:t>4）乔灌木的成活率应达到95%以上。</w:t>
            </w:r>
          </w:p>
          <w:p>
            <w:pPr>
              <w:pStyle w:val="null3"/>
            </w:pPr>
            <w:r>
              <w:rPr>
                <w:rFonts w:ascii="仿宋_GB2312" w:hAnsi="仿宋_GB2312" w:cs="仿宋_GB2312" w:eastAsia="仿宋_GB2312"/>
                <w:sz w:val="16"/>
              </w:rPr>
              <w:t>2、花灌木养护管理标准</w:t>
            </w:r>
          </w:p>
          <w:p>
            <w:pPr>
              <w:pStyle w:val="null3"/>
            </w:pPr>
            <w:r>
              <w:rPr>
                <w:rFonts w:ascii="仿宋_GB2312" w:hAnsi="仿宋_GB2312" w:cs="仿宋_GB2312" w:eastAsia="仿宋_GB2312"/>
                <w:sz w:val="16"/>
              </w:rPr>
              <w:t>（</w:t>
            </w:r>
            <w:r>
              <w:rPr>
                <w:rFonts w:ascii="仿宋_GB2312" w:hAnsi="仿宋_GB2312" w:cs="仿宋_GB2312" w:eastAsia="仿宋_GB2312"/>
                <w:sz w:val="16"/>
              </w:rPr>
              <w:t>1）生长势正常，无枯枝残叶；</w:t>
            </w:r>
          </w:p>
          <w:p>
            <w:pPr>
              <w:pStyle w:val="null3"/>
            </w:pPr>
            <w:r>
              <w:rPr>
                <w:rFonts w:ascii="仿宋_GB2312" w:hAnsi="仿宋_GB2312" w:cs="仿宋_GB2312" w:eastAsia="仿宋_GB2312"/>
                <w:sz w:val="16"/>
              </w:rPr>
              <w:t>（</w:t>
            </w:r>
            <w:r>
              <w:rPr>
                <w:rFonts w:ascii="仿宋_GB2312" w:hAnsi="仿宋_GB2312" w:cs="仿宋_GB2312" w:eastAsia="仿宋_GB2312"/>
                <w:sz w:val="16"/>
              </w:rPr>
              <w:t>2）造型美观，修剪残花败叶，与环境协调；</w:t>
            </w:r>
          </w:p>
          <w:p>
            <w:pPr>
              <w:pStyle w:val="null3"/>
            </w:pPr>
            <w:r>
              <w:rPr>
                <w:rFonts w:ascii="仿宋_GB2312" w:hAnsi="仿宋_GB2312" w:cs="仿宋_GB2312" w:eastAsia="仿宋_GB2312"/>
                <w:sz w:val="16"/>
              </w:rPr>
              <w:t>（</w:t>
            </w:r>
            <w:r>
              <w:rPr>
                <w:rFonts w:ascii="仿宋_GB2312" w:hAnsi="仿宋_GB2312" w:cs="仿宋_GB2312" w:eastAsia="仿宋_GB2312"/>
                <w:sz w:val="16"/>
              </w:rPr>
              <w:t>3）根据生长及开花特性进行合理灌溉和施肥；</w:t>
            </w:r>
          </w:p>
          <w:p>
            <w:pPr>
              <w:pStyle w:val="null3"/>
            </w:pPr>
            <w:r>
              <w:rPr>
                <w:rFonts w:ascii="仿宋_GB2312" w:hAnsi="仿宋_GB2312" w:cs="仿宋_GB2312" w:eastAsia="仿宋_GB2312"/>
                <w:sz w:val="16"/>
              </w:rPr>
              <w:t>（</w:t>
            </w:r>
            <w:r>
              <w:rPr>
                <w:rFonts w:ascii="仿宋_GB2312" w:hAnsi="仿宋_GB2312" w:cs="仿宋_GB2312" w:eastAsia="仿宋_GB2312"/>
                <w:sz w:val="16"/>
              </w:rPr>
              <w:t>4）病虫害防治，以防为主，精心管理，早发现早处理；</w:t>
            </w:r>
          </w:p>
          <w:p>
            <w:pPr>
              <w:pStyle w:val="null3"/>
            </w:pPr>
            <w:r>
              <w:rPr>
                <w:rFonts w:ascii="仿宋_GB2312" w:hAnsi="仿宋_GB2312" w:cs="仿宋_GB2312" w:eastAsia="仿宋_GB2312"/>
                <w:sz w:val="16"/>
              </w:rPr>
              <w:t>3、绿篱、色块养护管理标准</w:t>
            </w:r>
          </w:p>
          <w:p>
            <w:pPr>
              <w:pStyle w:val="null3"/>
            </w:pPr>
            <w:r>
              <w:rPr>
                <w:rFonts w:ascii="仿宋_GB2312" w:hAnsi="仿宋_GB2312" w:cs="仿宋_GB2312" w:eastAsia="仿宋_GB2312"/>
                <w:sz w:val="16"/>
              </w:rPr>
              <w:t>（</w:t>
            </w:r>
            <w:r>
              <w:rPr>
                <w:rFonts w:ascii="仿宋_GB2312" w:hAnsi="仿宋_GB2312" w:cs="仿宋_GB2312" w:eastAsia="仿宋_GB2312"/>
                <w:sz w:val="16"/>
              </w:rPr>
              <w:t>1）修剪应使轮廓清楚，线条整齐；</w:t>
            </w:r>
          </w:p>
          <w:p>
            <w:pPr>
              <w:pStyle w:val="null3"/>
            </w:pPr>
            <w:r>
              <w:rPr>
                <w:rFonts w:ascii="仿宋_GB2312" w:hAnsi="仿宋_GB2312" w:cs="仿宋_GB2312" w:eastAsia="仿宋_GB2312"/>
                <w:sz w:val="16"/>
              </w:rPr>
              <w:t>（</w:t>
            </w:r>
            <w:r>
              <w:rPr>
                <w:rFonts w:ascii="仿宋_GB2312" w:hAnsi="仿宋_GB2312" w:cs="仿宋_GB2312" w:eastAsia="仿宋_GB2312"/>
                <w:sz w:val="16"/>
              </w:rPr>
              <w:t>2）修剪后残留的枝叶应及时清除干净；</w:t>
            </w:r>
          </w:p>
          <w:p>
            <w:pPr>
              <w:pStyle w:val="null3"/>
            </w:pPr>
            <w:r>
              <w:rPr>
                <w:rFonts w:ascii="仿宋_GB2312" w:hAnsi="仿宋_GB2312" w:cs="仿宋_GB2312" w:eastAsia="仿宋_GB2312"/>
                <w:sz w:val="16"/>
              </w:rPr>
              <w:t>（</w:t>
            </w:r>
            <w:r>
              <w:rPr>
                <w:rFonts w:ascii="仿宋_GB2312" w:hAnsi="仿宋_GB2312" w:cs="仿宋_GB2312" w:eastAsia="仿宋_GB2312"/>
                <w:sz w:val="16"/>
              </w:rPr>
              <w:t>3）适时灌溉和施肥、防治病虫害及杂草；</w:t>
            </w:r>
          </w:p>
          <w:p>
            <w:pPr>
              <w:pStyle w:val="null3"/>
            </w:pPr>
            <w:r>
              <w:rPr>
                <w:rFonts w:ascii="仿宋_GB2312" w:hAnsi="仿宋_GB2312" w:cs="仿宋_GB2312" w:eastAsia="仿宋_GB2312"/>
                <w:sz w:val="16"/>
              </w:rPr>
              <w:t>4、草坪养护管理标准</w:t>
            </w:r>
          </w:p>
          <w:p>
            <w:pPr>
              <w:pStyle w:val="null3"/>
            </w:pPr>
            <w:r>
              <w:rPr>
                <w:rFonts w:ascii="仿宋_GB2312" w:hAnsi="仿宋_GB2312" w:cs="仿宋_GB2312" w:eastAsia="仿宋_GB2312"/>
                <w:sz w:val="16"/>
              </w:rPr>
              <w:t>（</w:t>
            </w:r>
            <w:r>
              <w:rPr>
                <w:rFonts w:ascii="仿宋_GB2312" w:hAnsi="仿宋_GB2312" w:cs="仿宋_GB2312" w:eastAsia="仿宋_GB2312"/>
                <w:sz w:val="16"/>
              </w:rPr>
              <w:t>1）根据立地条件和草坪的功能进行养护管理；</w:t>
            </w:r>
          </w:p>
          <w:p>
            <w:pPr>
              <w:pStyle w:val="null3"/>
            </w:pPr>
            <w:r>
              <w:rPr>
                <w:rFonts w:ascii="仿宋_GB2312" w:hAnsi="仿宋_GB2312" w:cs="仿宋_GB2312" w:eastAsia="仿宋_GB2312"/>
                <w:sz w:val="16"/>
              </w:rPr>
              <w:t>（</w:t>
            </w:r>
            <w:r>
              <w:rPr>
                <w:rFonts w:ascii="仿宋_GB2312" w:hAnsi="仿宋_GB2312" w:cs="仿宋_GB2312" w:eastAsia="仿宋_GB2312"/>
                <w:sz w:val="16"/>
              </w:rPr>
              <w:t>2）草坪灌溉应适时、适量，务必灌好返青水和越冬水；</w:t>
            </w:r>
          </w:p>
          <w:p>
            <w:pPr>
              <w:pStyle w:val="null3"/>
            </w:pPr>
            <w:r>
              <w:rPr>
                <w:rFonts w:ascii="仿宋_GB2312" w:hAnsi="仿宋_GB2312" w:cs="仿宋_GB2312" w:eastAsia="仿宋_GB2312"/>
                <w:sz w:val="16"/>
              </w:rPr>
              <w:t>（</w:t>
            </w:r>
            <w:r>
              <w:rPr>
                <w:rFonts w:ascii="仿宋_GB2312" w:hAnsi="仿宋_GB2312" w:cs="仿宋_GB2312" w:eastAsia="仿宋_GB2312"/>
                <w:sz w:val="16"/>
              </w:rPr>
              <w:t>3）及时进行病虫害防治，清除杂草；</w:t>
            </w:r>
          </w:p>
          <w:p>
            <w:pPr>
              <w:pStyle w:val="null3"/>
            </w:pPr>
            <w:r>
              <w:rPr>
                <w:rFonts w:ascii="仿宋_GB2312" w:hAnsi="仿宋_GB2312" w:cs="仿宋_GB2312" w:eastAsia="仿宋_GB2312"/>
                <w:sz w:val="16"/>
              </w:rPr>
              <w:t>（</w:t>
            </w:r>
            <w:r>
              <w:rPr>
                <w:rFonts w:ascii="仿宋_GB2312" w:hAnsi="仿宋_GB2312" w:cs="仿宋_GB2312" w:eastAsia="仿宋_GB2312"/>
                <w:sz w:val="16"/>
              </w:rPr>
              <w:t>4）草坪无枯黄、无病虫害，覆盖率应达到95%以上。</w:t>
            </w:r>
          </w:p>
          <w:p>
            <w:pPr>
              <w:pStyle w:val="null3"/>
              <w:jc w:val="both"/>
            </w:pPr>
            <w:r>
              <w:rPr>
                <w:rFonts w:ascii="仿宋_GB2312" w:hAnsi="仿宋_GB2312" w:cs="仿宋_GB2312" w:eastAsia="仿宋_GB2312"/>
                <w:sz w:val="16"/>
              </w:rPr>
              <w:t>（四）人员要求</w:t>
            </w:r>
          </w:p>
          <w:p>
            <w:pPr>
              <w:pStyle w:val="null3"/>
              <w:jc w:val="both"/>
            </w:pPr>
            <w:r>
              <w:rPr>
                <w:rFonts w:ascii="仿宋_GB2312" w:hAnsi="仿宋_GB2312" w:cs="仿宋_GB2312" w:eastAsia="仿宋_GB2312"/>
                <w:sz w:val="16"/>
              </w:rPr>
              <w:t>1.人员考勤：乙方应确保在合同约定服务期间，乙方员工均按照规定，按时打卡，无无故旷工，缺勤情况发生。</w:t>
            </w:r>
          </w:p>
          <w:p>
            <w:pPr>
              <w:pStyle w:val="null3"/>
              <w:jc w:val="both"/>
            </w:pPr>
            <w:r>
              <w:rPr>
                <w:rFonts w:ascii="仿宋_GB2312" w:hAnsi="仿宋_GB2312" w:cs="仿宋_GB2312" w:eastAsia="仿宋_GB2312"/>
                <w:sz w:val="16"/>
              </w:rPr>
              <w:t>2.人员培训管理：对在职员工进行礼貌礼节、工作技能、规章制度培训，服务良好。</w:t>
            </w:r>
          </w:p>
          <w:p>
            <w:pPr>
              <w:pStyle w:val="null3"/>
              <w:jc w:val="both"/>
            </w:pPr>
            <w:r>
              <w:rPr>
                <w:rFonts w:ascii="仿宋_GB2312" w:hAnsi="仿宋_GB2312" w:cs="仿宋_GB2312" w:eastAsia="仿宋_GB2312"/>
                <w:sz w:val="16"/>
              </w:rPr>
              <w:t>3.人员安全管理：定期进行安全生产管理教育，做好临休室、值班室、办公室的安全管理，以确保乙方提供物业服务期间，无安全事故发生。</w:t>
            </w:r>
          </w:p>
          <w:p>
            <w:pPr>
              <w:pStyle w:val="null3"/>
              <w:jc w:val="both"/>
            </w:pPr>
            <w:r>
              <w:rPr>
                <w:rFonts w:ascii="仿宋_GB2312" w:hAnsi="仿宋_GB2312" w:cs="仿宋_GB2312" w:eastAsia="仿宋_GB2312"/>
                <w:sz w:val="16"/>
              </w:rPr>
              <w:t>4.人员日常管理：每周召开1次会议，加强员工管理，严格考核，无违规行为发生。</w:t>
            </w:r>
          </w:p>
          <w:p>
            <w:pPr>
              <w:pStyle w:val="null3"/>
              <w:spacing w:after="195"/>
            </w:pPr>
            <w:r>
              <w:rPr>
                <w:rFonts w:ascii="仿宋_GB2312" w:hAnsi="仿宋_GB2312" w:cs="仿宋_GB2312" w:eastAsia="仿宋_GB2312"/>
                <w:sz w:val="16"/>
                <w:b/>
              </w:rPr>
              <w:t>5.人员数量：保洁员不少于</w:t>
            </w:r>
            <w:r>
              <w:rPr>
                <w:rFonts w:ascii="仿宋_GB2312" w:hAnsi="仿宋_GB2312" w:cs="仿宋_GB2312" w:eastAsia="仿宋_GB2312"/>
                <w:sz w:val="16"/>
                <w:b/>
              </w:rPr>
              <w:t>14</w:t>
            </w:r>
            <w:r>
              <w:rPr>
                <w:rFonts w:ascii="仿宋_GB2312" w:hAnsi="仿宋_GB2312" w:cs="仿宋_GB2312" w:eastAsia="仿宋_GB2312"/>
                <w:sz w:val="16"/>
                <w:b/>
              </w:rPr>
              <w:t>人</w:t>
            </w:r>
            <w:r>
              <w:rPr>
                <w:rFonts w:ascii="仿宋_GB2312" w:hAnsi="仿宋_GB2312" w:cs="仿宋_GB2312" w:eastAsia="仿宋_GB2312"/>
                <w:sz w:val="16"/>
                <w:b/>
              </w:rPr>
              <w:t>(含组长1名)</w:t>
            </w:r>
            <w:r>
              <w:rPr>
                <w:rFonts w:ascii="仿宋_GB2312" w:hAnsi="仿宋_GB2312" w:cs="仿宋_GB2312" w:eastAsia="仿宋_GB2312"/>
                <w:sz w:val="16"/>
                <w:b/>
              </w:rPr>
              <w:t>，工程</w:t>
            </w:r>
            <w:r>
              <w:rPr>
                <w:rFonts w:ascii="仿宋_GB2312" w:hAnsi="仿宋_GB2312" w:cs="仿宋_GB2312" w:eastAsia="仿宋_GB2312"/>
                <w:sz w:val="16"/>
                <w:b/>
              </w:rPr>
              <w:t>维护</w:t>
            </w:r>
            <w:r>
              <w:rPr>
                <w:rFonts w:ascii="仿宋_GB2312" w:hAnsi="仿宋_GB2312" w:cs="仿宋_GB2312" w:eastAsia="仿宋_GB2312"/>
                <w:sz w:val="16"/>
                <w:b/>
              </w:rPr>
              <w:t>不少于</w:t>
            </w:r>
            <w:r>
              <w:rPr>
                <w:rFonts w:ascii="仿宋_GB2312" w:hAnsi="仿宋_GB2312" w:cs="仿宋_GB2312" w:eastAsia="仿宋_GB2312"/>
                <w:sz w:val="16"/>
                <w:b/>
              </w:rPr>
              <w:t>4</w:t>
            </w:r>
            <w:r>
              <w:rPr>
                <w:rFonts w:ascii="仿宋_GB2312" w:hAnsi="仿宋_GB2312" w:cs="仿宋_GB2312" w:eastAsia="仿宋_GB2312"/>
                <w:sz w:val="16"/>
                <w:b/>
              </w:rPr>
              <w:t>人（含组长1名），</w:t>
            </w:r>
            <w:r>
              <w:rPr>
                <w:rFonts w:ascii="仿宋_GB2312" w:hAnsi="仿宋_GB2312" w:cs="仿宋_GB2312" w:eastAsia="仿宋_GB2312"/>
                <w:sz w:val="16"/>
                <w:b/>
              </w:rPr>
              <w:t>绿化人员不少于</w:t>
            </w:r>
            <w:r>
              <w:rPr>
                <w:rFonts w:ascii="仿宋_GB2312" w:hAnsi="仿宋_GB2312" w:cs="仿宋_GB2312" w:eastAsia="仿宋_GB2312"/>
                <w:sz w:val="16"/>
                <w:b/>
              </w:rPr>
              <w:t>6人，物业经理1名。</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6"/>
              </w:rPr>
              <w:t>服务期限：自签订合同后一年。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6"/>
              </w:rPr>
              <w:t>其他要求：</w:t>
            </w:r>
          </w:p>
          <w:p>
            <w:pPr>
              <w:pStyle w:val="null3"/>
              <w:jc w:val="both"/>
            </w:pPr>
            <w:r>
              <w:rPr>
                <w:rFonts w:ascii="仿宋_GB2312" w:hAnsi="仿宋_GB2312" w:cs="仿宋_GB2312" w:eastAsia="仿宋_GB2312"/>
                <w:sz w:val="16"/>
              </w:rPr>
              <w:t>1.根据学校的要求，依据项目内容为学校做好本次项目服务工作。</w:t>
            </w:r>
          </w:p>
          <w:p>
            <w:pPr>
              <w:pStyle w:val="null3"/>
              <w:jc w:val="both"/>
            </w:pPr>
            <w:r>
              <w:rPr>
                <w:rFonts w:ascii="仿宋_GB2312" w:hAnsi="仿宋_GB2312" w:cs="仿宋_GB2312" w:eastAsia="仿宋_GB2312"/>
                <w:sz w:val="16"/>
              </w:rPr>
              <w:t>2.配合学校做好学生的安全保障工作，确保场地及周边环境整洁、绿化养护及时，各种设施设备安全运行，提前检查周边设施是否有安全隐患。</w:t>
            </w:r>
          </w:p>
          <w:p>
            <w:pPr>
              <w:pStyle w:val="null3"/>
              <w:jc w:val="both"/>
            </w:pPr>
            <w:r>
              <w:rPr>
                <w:rFonts w:ascii="仿宋_GB2312" w:hAnsi="仿宋_GB2312" w:cs="仿宋_GB2312" w:eastAsia="仿宋_GB2312"/>
                <w:sz w:val="16"/>
              </w:rPr>
              <w:t>3、报价包含人员工资、社会保险费、各种加班费、企业管理费、利润、税金、制衣费、保洁工器具费用、垃圾清运费等为完整本项目所涉及的一切费用。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完成1/4服务时限后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完成1/2服务时限后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完成1/2服务时限后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完成全部任务验收完毕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政府采购法的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2.供应商需要在线提交所有通过电子化交易平台实施的政府采购项目的响应文件，同时，线下提交纸质响应文件正本一份、副本一份，递交截止时间同在线递交电子响应文件截止时间一致。若电子响应文件与纸质响应文件不一致的，以纸质响应文件为准；若正本和副本不符，以正本为准。响应文件正、副本分别各自装订成册密封，在封口处加盖供应商公章。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供应商在本项目磋商响应文件递交截止时间前六个月内任意一个月的税收缴纳凭证；（依法免税的供应商应提供相关文件证明） 3.社会保障资金缴纳证明：供应商在本项目磋商响应文件递交截止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法人或者其他组织提供营业执照（或事业单位法人证书）等证明文件，自然人提供身份证件，供应商需在项目电子化交易系统中按要求上传相应证明文件并进行电子签章。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tc>
        <w:tc>
          <w:tcPr>
            <w:tcW w:type="dxa" w:w="1661"/>
          </w:tcPr>
          <w:p>
            <w:pPr>
              <w:pStyle w:val="null3"/>
            </w:pPr>
            <w:r>
              <w:rPr>
                <w:rFonts w:ascii="仿宋_GB2312" w:hAnsi="仿宋_GB2312" w:cs="仿宋_GB2312" w:eastAsia="仿宋_GB2312"/>
              </w:rPr>
              <w:t>响应文件封面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中小企业声明函 授权委托书.docx 报价表 资格证明文件.docx 响应文件封面 磋商响应报价表.docx 法定代表人（单位负责人自然人）身份证明.docx 残疾人福利性单位声明函 技术商务响应部分.docx 标的清单 其他材料.docx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近一年内任意时段缴纳社保的证明。</w:t>
            </w:r>
          </w:p>
        </w:tc>
        <w:tc>
          <w:tcPr>
            <w:tcW w:type="dxa" w:w="1661"/>
          </w:tcPr>
          <w:p>
            <w:pPr>
              <w:pStyle w:val="null3"/>
            </w:pPr>
            <w:r>
              <w:rPr>
                <w:rFonts w:ascii="仿宋_GB2312" w:hAnsi="仿宋_GB2312" w:cs="仿宋_GB2312" w:eastAsia="仿宋_GB2312"/>
              </w:rPr>
              <w:t>响应文件封面 法定代表人（单位负责人自然人）身份证明.docx 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唯一报价,符合磋商文件要求，并未超出采购预算。</w:t>
            </w:r>
          </w:p>
        </w:tc>
        <w:tc>
          <w:tcPr>
            <w:tcW w:type="dxa" w:w="1661"/>
          </w:tcPr>
          <w:p>
            <w:pPr>
              <w:pStyle w:val="null3"/>
            </w:pPr>
            <w:r>
              <w:rPr>
                <w:rFonts w:ascii="仿宋_GB2312" w:hAnsi="仿宋_GB2312" w:cs="仿宋_GB2312" w:eastAsia="仿宋_GB2312"/>
              </w:rPr>
              <w:t>响应文件封面 磋商响应报价表.docx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响应合同中规定的双方的权利和义务。</w:t>
            </w:r>
          </w:p>
        </w:tc>
        <w:tc>
          <w:tcPr>
            <w:tcW w:type="dxa" w:w="1661"/>
          </w:tcPr>
          <w:p>
            <w:pPr>
              <w:pStyle w:val="null3"/>
            </w:pPr>
            <w:r>
              <w:rPr>
                <w:rFonts w:ascii="仿宋_GB2312" w:hAnsi="仿宋_GB2312" w:cs="仿宋_GB2312" w:eastAsia="仿宋_GB2312"/>
              </w:rPr>
              <w:t>响应文件封面 技术商务响应部分.docx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1、承诺在配合服务过程中接受采购人监督管理，承诺按时足额发放人员工资及福利等。如出现服务质量不满足需求或未履行承诺时愿意接受采购人相关经济处罚。 2、承诺配齐服务人员，并正常开展工作，否则采购人有权扣减相应服务费用。 二、评审标准： 以上评审内容每一项满分5分，按如下标准赋分：专门针对本项目编制，符合项目实际情况及实施要求，承诺内容详尽且涵盖角度全面，合理性和可行性强，保障充分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方案专门针对本项目编制，基本符合项目实际情况及实施要求，但涵盖角度不全面且实施有难度的得2分；未承诺按时足额发放或承诺方案内容简单笼统，实施难度大的，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保洁人员及工器具配置</w:t>
            </w:r>
          </w:p>
        </w:tc>
        <w:tc>
          <w:tcPr>
            <w:tcW w:type="dxa" w:w="2492"/>
          </w:tcPr>
          <w:p>
            <w:pPr>
              <w:pStyle w:val="null3"/>
            </w:pPr>
            <w:r>
              <w:rPr>
                <w:rFonts w:ascii="仿宋_GB2312" w:hAnsi="仿宋_GB2312" w:cs="仿宋_GB2312" w:eastAsia="仿宋_GB2312"/>
              </w:rPr>
              <w:t>一、评审内容： 1、针对本项目所配保洁员人数满足采购文件要求且人员配置科学合理。 2、拟投入的人员工作服装配置。 3、拟投入的设备、劳保用品、清洁工具、通讯工具数量种类配置。 二、评审标准： 以上评审内容每一项满分5分，按如下标准赋分： 专门针对本项目编制，符合项目实际情况及实施要求，内容详尽且涵盖角度全面，合理性和可行性强，能够保障项目顺利实施的，得5分；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供应商近三年（2022年1月至今，以签订合同时间或中标通知书落款时间为准）具有类似项目业绩，每 提供一个得1分，最高得5分。（以磋商响应文件中合同或合同关键页（必须含封面、内容、签订时间 、盖章签字页等信息）或中标通知书加盖公章的扫描件为准，未提供不得分）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针对本项目提出培训考核方案，内容包括 1、常态化岗位知识培训计划； 2、人员培训考核方案；3、考核管理制度。 二、评审标准： 以上评审内容每一项满分4分，按如下标准赋分：方案内容提供具体详细的实施方案，方案总体思路清晰，实施方法及工作安排合理，涵盖内容全面，针对性操作性强得4分；方案内容提供具体详细的实施方案，方案总体思路清晰，实施方法及工作安排合理，涵盖内容全面，针对性操作性欠缺得3分；方案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1、服务计划书详细、合理、全面。</w:t>
            </w:r>
          </w:p>
        </w:tc>
        <w:tc>
          <w:tcPr>
            <w:tcW w:type="dxa" w:w="2492"/>
          </w:tcPr>
          <w:p>
            <w:pPr>
              <w:pStyle w:val="null3"/>
            </w:pPr>
            <w:r>
              <w:rPr>
                <w:rFonts w:ascii="仿宋_GB2312" w:hAnsi="仿宋_GB2312" w:cs="仿宋_GB2312" w:eastAsia="仿宋_GB2312"/>
              </w:rPr>
              <w:t xml:space="preserve">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2、管理及服务方案符合实地要求</w:t>
            </w:r>
          </w:p>
        </w:tc>
        <w:tc>
          <w:tcPr>
            <w:tcW w:type="dxa" w:w="2492"/>
          </w:tcPr>
          <w:p>
            <w:pPr>
              <w:pStyle w:val="null3"/>
            </w:pPr>
            <w:r>
              <w:rPr>
                <w:rFonts w:ascii="仿宋_GB2312" w:hAnsi="仿宋_GB2312" w:cs="仿宋_GB2312" w:eastAsia="仿宋_GB2312"/>
              </w:rPr>
              <w:t xml:space="preserve">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3、保洁区域所设置达到相关标准。</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4、具有详细的内部管理架构、工作流程、激励机制、信息反馈渠道。</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5、安全事故处理措施，包括：意外伤害赔偿、风险规避措施。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6、节假日及重大活动服务预案。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7、承包区域人员分配方案。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8、保洁、绿化作业工作组织方案。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9、雨雪及恶劣天气应急预案措施。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10、管理人员与采购人工作配合的保障措施。</w:t>
            </w:r>
          </w:p>
        </w:tc>
        <w:tc>
          <w:tcPr>
            <w:tcW w:type="dxa" w:w="2492"/>
          </w:tcPr>
          <w:p>
            <w:pPr>
              <w:pStyle w:val="null3"/>
            </w:pPr>
            <w:r>
              <w:rPr>
                <w:rFonts w:ascii="仿宋_GB2312" w:hAnsi="仿宋_GB2312" w:cs="仿宋_GB2312" w:eastAsia="仿宋_GB2312"/>
              </w:rPr>
              <w:t xml:space="preserve">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11、保洁环境管理及考核的措施。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12、服务质量、自检及整改标准。</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 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详见附件：技术商务响应部分.docx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