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版本号：LZBD2025-146120250821002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LZBD2025-1461</w:t>
      </w:r>
      <w:r>
        <w:br/>
      </w:r>
      <w:r>
        <w:br/>
      </w:r>
      <w:r>
        <w:br/>
      </w:r>
    </w:p>
    <w:p>
      <w:pPr>
        <w:pStyle w:val="null3"/>
        <w:jc w:val="center"/>
        <w:outlineLvl w:val="2"/>
      </w:pPr>
      <w:r>
        <w:rPr>
          <w:rFonts w:ascii="仿宋_GB2312" w:hAnsi="仿宋_GB2312" w:cs="仿宋_GB2312" w:eastAsia="仿宋_GB2312"/>
          <w:sz w:val="28"/>
          <w:b/>
        </w:rPr>
        <w:t>西安市浐灞第七初级中学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西安市浐灞第七初级中学</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LZBD2025-1461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或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西安市浐灞第七初级中学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西安市灞桥区东城大道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029-83619190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30201278017363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西安市浐灞第七初级中学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西安市浐灞第七初级中学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西安市浐灞第七初级中学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631,200.00</w:t>
      </w:r>
    </w:p>
    <w:p>
      <w:pPr>
        <w:pStyle w:val="null3"/>
      </w:pPr>
      <w:r>
        <w:rPr>
          <w:rFonts w:ascii="仿宋_GB2312" w:hAnsi="仿宋_GB2312" w:cs="仿宋_GB2312" w:eastAsia="仿宋_GB2312"/>
        </w:rPr>
        <w:t>采购包最高限价（元）: 631,200.00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西安市浐灞第七初级中学物业服务项目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标的名称：西安市浐灞第七初级中学物业服务项目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校内各处的维修、养护和管理、房屋装饰装修管理服务；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校内各处设施设备的运行、维修、养护的管理；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校内各处的场地的清洁卫生、公共区域防疫消杀；垃圾的分类收集、清运等；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校内绿化的养护和管理、物业档案资料管理；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配合学校做好各项活动的准备工作等。</w:t>
            </w:r>
          </w:p>
          <w:p>
            <w:pPr>
              <w:pStyle w:val="null3"/>
              <w:jc w:val="both"/>
            </w:pPr>
            <w:r>
              <w:rPr>
                <w:rFonts w:ascii="仿宋_GB2312" w:hAnsi="仿宋_GB2312" w:cs="仿宋_GB2312" w:eastAsia="仿宋_GB2312"/>
                <w:sz w:val="21"/>
                <w:b/>
              </w:rPr>
              <w:t>二、技术要求</w:t>
            </w:r>
          </w:p>
          <w:p>
            <w:pPr>
              <w:pStyle w:val="null3"/>
              <w:jc w:val="both"/>
            </w:pPr>
            <w:r>
              <w:rPr>
                <w:rFonts w:ascii="仿宋_GB2312" w:hAnsi="仿宋_GB2312" w:cs="仿宋_GB2312" w:eastAsia="仿宋_GB2312"/>
                <w:sz w:val="21"/>
              </w:rPr>
              <w:t>校区公共区域及室外区域的环境保洁服务、绿化养护和垃圾清运及工程维修、管理等服务，满足校方日常工作需求。</w:t>
            </w:r>
          </w:p>
          <w:p>
            <w:pPr>
              <w:pStyle w:val="null3"/>
              <w:jc w:val="both"/>
            </w:pPr>
            <w:r>
              <w:rPr>
                <w:rFonts w:ascii="仿宋_GB2312" w:hAnsi="仿宋_GB2312" w:cs="仿宋_GB2312" w:eastAsia="仿宋_GB2312"/>
                <w:sz w:val="21"/>
                <w:b/>
              </w:rPr>
              <w:t>三、服务要求</w:t>
            </w:r>
          </w:p>
          <w:p>
            <w:pPr>
              <w:pStyle w:val="null3"/>
              <w:jc w:val="both"/>
            </w:pPr>
            <w:r>
              <w:rPr>
                <w:rFonts w:ascii="仿宋_GB2312" w:hAnsi="仿宋_GB2312" w:cs="仿宋_GB2312" w:eastAsia="仿宋_GB2312"/>
                <w:sz w:val="21"/>
              </w:rPr>
              <w:t>（一）工程维保标准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对学校内给排水设施、电力输配设施、消防设施、空调设施、等进行日常维护保养管理，保证学校内供水、供电、等设备以及监控等设施正常运行，确保安全、舒适的教学环境。</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配电柜内无异物，母线、电缆线之间联接处接触良好，电器开关完好无损；</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照明：保障日常使用的前提下节约能源，灯具损坏及时维修；</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室内线路、照明设施的维修、更换，插座、开关的维修、更换，水龙头的更换，建筑室内管道设施使用中不跑、冒、滴、漏；</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保障配电室、泵房设备正常运转，应经常进行巡视，并做好巡视记录，每天不少于</w:t>
            </w:r>
            <w:r>
              <w:rPr>
                <w:rFonts w:ascii="仿宋_GB2312" w:hAnsi="仿宋_GB2312" w:cs="仿宋_GB2312" w:eastAsia="仿宋_GB2312"/>
                <w:sz w:val="21"/>
              </w:rPr>
              <w:t>2</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负责学校共用设施设备的每日巡检，及时处理校内报修问题、对相关设施设备进行定期巡查，和桌椅、门窗、用电设备等的定期检查及维修。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随时掌握房屋及附属设备的完好情况，制定常规及长期维修保养计划，并按计划实施；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当设施、设备无法满足服务要求时，能提出适当的改良方案，经甲方同意后实施；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负责对甲方的装修设计方案进行备案，对装修现场及人员进行监督管理，并预防因二次装修危及建筑物安全或破坏原有管线及系统终端。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明确消防安全责任人，并成立消防应急分队；定期组织消防知识培训和消防演练；定期检查消防设备、设施的完好性；定期检查消防通道是否畅通无阻，紧急疏散标识是否完好无缺。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对学校内制作、安装警示、指示、公益标牌等标示标牌保证其完好。</w:t>
            </w:r>
          </w:p>
          <w:p>
            <w:pPr>
              <w:pStyle w:val="null3"/>
              <w:jc w:val="both"/>
            </w:pPr>
            <w:r>
              <w:rPr>
                <w:rFonts w:ascii="仿宋_GB2312" w:hAnsi="仿宋_GB2312" w:cs="仿宋_GB2312" w:eastAsia="仿宋_GB2312"/>
                <w:sz w:val="21"/>
              </w:rPr>
              <w:t>（二）物业管理服务标准</w:t>
            </w:r>
          </w:p>
          <w:p>
            <w:pPr>
              <w:pStyle w:val="null3"/>
              <w:jc w:val="both"/>
            </w:pPr>
            <w:r>
              <w:rPr>
                <w:rFonts w:ascii="仿宋_GB2312" w:hAnsi="仿宋_GB2312" w:cs="仿宋_GB2312" w:eastAsia="仿宋_GB2312"/>
                <w:sz w:val="21"/>
              </w:rPr>
              <w:t>建立完整的房屋、设施、设备档案，收集和保存相关图纸资料，对房屋、设施、设备的维修、养护情况进行记录；</w:t>
            </w:r>
          </w:p>
          <w:p>
            <w:pPr>
              <w:pStyle w:val="null3"/>
              <w:jc w:val="both"/>
            </w:pPr>
            <w:r>
              <w:rPr>
                <w:rFonts w:ascii="仿宋_GB2312" w:hAnsi="仿宋_GB2312" w:cs="仿宋_GB2312" w:eastAsia="仿宋_GB2312"/>
                <w:sz w:val="21"/>
              </w:rPr>
              <w:t>（三）保洁服务标准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公共区域保洁管理要求</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地面干净、光亮，无污渍、无水渍、无杂物；</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各类指示牌干净无尘，无污迹；</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楼梯扶手干净无尘，无污迹、无手印；</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烟灰桶干净、光亮，无水渍、无污迹、无痰迹；</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公共区域灯具、天花板、顶棚、出风口无积灰、无结网。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公共卫生间保洁管理要求</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垃圾收集及时；</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地面清洁，无积水。地漏畅通，无堵塞；</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墙面、隔断、门、执手等无污迹；</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便具无积垢、无污迹、无锈迹、无异味；</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洁具表面光洁、明亮，无污渍；</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金属水嘴、外露水管、电气开关和插座等表面光亮，无灰尘；</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垃圾桶表面无污迹、无异味。</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道路保洁管理要求</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清扫并随时进行垃圾捡拾；</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道路保持干净，无积水，无积雪、积冰，晴天无水渍；</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明沟无杂物，无积水；</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座椅、灯柱、告示牌等设施干净、明亮；</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绿化带、花坛、盆栽植物内无杂物；</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及时进行垃圾收集及清运；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）保洁人员需培训上岗，在岗期间杜绝脱岗严禁从事与保洁业务无关的工作，包括但不限于抽烟，打架，盗窃等行为。</w:t>
            </w:r>
          </w:p>
          <w:p>
            <w:pPr>
              <w:pStyle w:val="null3"/>
              <w:jc w:val="both"/>
            </w:pPr>
            <w:r>
              <w:rPr>
                <w:rFonts w:ascii="仿宋_GB2312" w:hAnsi="仿宋_GB2312" w:cs="仿宋_GB2312" w:eastAsia="仿宋_GB2312"/>
                <w:sz w:val="21"/>
              </w:rPr>
              <w:t>（四）绿化养护标准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、乔木养护管理标准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）生长势正常，枝叶正常，无枯枝残叶；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）充分考虑树木与环境的关系，依据树龄及生长势强弱及时进行修剪；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）及时灌溉、施肥，病虫害防治，以防为主，精心管理，早发现早处理；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）乔灌木的成活率应达到</w:t>
            </w:r>
            <w:r>
              <w:rPr>
                <w:rFonts w:ascii="仿宋_GB2312" w:hAnsi="仿宋_GB2312" w:cs="仿宋_GB2312" w:eastAsia="仿宋_GB2312"/>
                <w:sz w:val="21"/>
              </w:rPr>
              <w:t>95%</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、花灌木养护管理标准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）生长势正常，无枯枝残叶；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）造型美观，修剪残花败叶，与环境协调；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）根据生长及开花特性进行合理灌溉和施肥；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）病虫害防治，以防为主，精心管理，早发现早处理；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、绿篱、色块养护管理标准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）修剪应使轮廓清楚，线条整齐；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）修剪后残留的枝叶应及时清除干净；</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适时灌溉和施肥、防治病虫害及杂草；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、草坪养护管理标准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根据立地条件和草坪的功能进行养护管理；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草坪灌溉应适时、适量，务必灌好返青水和越冬水；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及时进行病虫害防治，清除杂草；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草坪无枯黄、无病虫害，覆盖率应达到</w:t>
            </w:r>
            <w:r>
              <w:rPr>
                <w:rFonts w:ascii="仿宋_GB2312" w:hAnsi="仿宋_GB2312" w:cs="仿宋_GB2312" w:eastAsia="仿宋_GB2312"/>
                <w:sz w:val="21"/>
              </w:rPr>
              <w:t>95%</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（五）垃圾分类清运管理标准</w:t>
            </w:r>
          </w:p>
          <w:p>
            <w:pPr>
              <w:pStyle w:val="null3"/>
              <w:jc w:val="both"/>
            </w:pPr>
            <w:r>
              <w:rPr>
                <w:rFonts w:ascii="仿宋_GB2312" w:hAnsi="仿宋_GB2312" w:cs="仿宋_GB2312" w:eastAsia="仿宋_GB2312"/>
                <w:sz w:val="21"/>
              </w:rPr>
              <w:t>符合国家相关法律法规及当地环保部门要求，并按照要求及时清运。</w:t>
            </w:r>
          </w:p>
          <w:p>
            <w:pPr>
              <w:pStyle w:val="null3"/>
              <w:jc w:val="both"/>
            </w:pPr>
            <w:r>
              <w:rPr>
                <w:rFonts w:ascii="仿宋_GB2312" w:hAnsi="仿宋_GB2312" w:cs="仿宋_GB2312" w:eastAsia="仿宋_GB2312"/>
                <w:sz w:val="21"/>
              </w:rPr>
              <w:t>（六）人员要求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人员考勤：乙方应确保在合同约定服务期间，乙方员工均按照规定，按时打卡，无无故旷工，缺勤情况发生。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人员培训管理：对在职员工进行礼貌礼节、工作技能、规章制度培训，服务良好。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人员安全管理：定期进行安全生产管理教育，做好临休室、值班室、办公室的安全管理，以确保乙方提供物业服务期间，无安全事故发生。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人员日常管理：每周召开</w:t>
            </w:r>
            <w:r>
              <w:rPr>
                <w:rFonts w:ascii="仿宋_GB2312" w:hAnsi="仿宋_GB2312" w:cs="仿宋_GB2312" w:eastAsia="仿宋_GB2312"/>
                <w:sz w:val="21"/>
              </w:rPr>
              <w:t>1</w:t>
            </w:r>
            <w:r>
              <w:rPr>
                <w:rFonts w:ascii="仿宋_GB2312" w:hAnsi="仿宋_GB2312" w:cs="仿宋_GB2312" w:eastAsia="仿宋_GB2312"/>
                <w:sz w:val="21"/>
              </w:rPr>
              <w:t>次会议，加强员工管理，严格考核，无违规行为发生。</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人员数量：</w:t>
            </w:r>
            <w:r>
              <w:rPr>
                <w:rFonts w:ascii="仿宋_GB2312" w:hAnsi="仿宋_GB2312" w:cs="仿宋_GB2312" w:eastAsia="仿宋_GB2312"/>
                <w:sz w:val="21"/>
                <w:b/>
              </w:rPr>
              <w:t>保洁员不少于</w:t>
            </w:r>
            <w:r>
              <w:rPr>
                <w:rFonts w:ascii="仿宋_GB2312" w:hAnsi="仿宋_GB2312" w:cs="仿宋_GB2312" w:eastAsia="仿宋_GB2312"/>
                <w:sz w:val="21"/>
                <w:b/>
              </w:rPr>
              <w:t>10</w:t>
            </w:r>
            <w:r>
              <w:rPr>
                <w:rFonts w:ascii="仿宋_GB2312" w:hAnsi="仿宋_GB2312" w:cs="仿宋_GB2312" w:eastAsia="仿宋_GB2312"/>
                <w:sz w:val="21"/>
                <w:b/>
              </w:rPr>
              <w:t>人</w:t>
            </w:r>
            <w:r>
              <w:rPr>
                <w:rFonts w:ascii="仿宋_GB2312" w:hAnsi="仿宋_GB2312" w:cs="仿宋_GB2312" w:eastAsia="仿宋_GB2312"/>
                <w:sz w:val="21"/>
                <w:b/>
              </w:rPr>
              <w:t>(</w:t>
            </w:r>
            <w:r>
              <w:rPr>
                <w:rFonts w:ascii="仿宋_GB2312" w:hAnsi="仿宋_GB2312" w:cs="仿宋_GB2312" w:eastAsia="仿宋_GB2312"/>
                <w:sz w:val="21"/>
                <w:b/>
              </w:rPr>
              <w:t>含组长</w:t>
            </w:r>
            <w:r>
              <w:rPr>
                <w:rFonts w:ascii="仿宋_GB2312" w:hAnsi="仿宋_GB2312" w:cs="仿宋_GB2312" w:eastAsia="仿宋_GB2312"/>
                <w:sz w:val="21"/>
                <w:b/>
              </w:rPr>
              <w:t>1</w:t>
            </w:r>
            <w:r>
              <w:rPr>
                <w:rFonts w:ascii="仿宋_GB2312" w:hAnsi="仿宋_GB2312" w:cs="仿宋_GB2312" w:eastAsia="仿宋_GB2312"/>
                <w:sz w:val="21"/>
                <w:b/>
              </w:rPr>
              <w:t>名且不少于</w:t>
            </w:r>
            <w:r>
              <w:rPr>
                <w:rFonts w:ascii="仿宋_GB2312" w:hAnsi="仿宋_GB2312" w:cs="仿宋_GB2312" w:eastAsia="仿宋_GB2312"/>
                <w:sz w:val="21"/>
                <w:b/>
              </w:rPr>
              <w:t>2</w:t>
            </w:r>
            <w:r>
              <w:rPr>
                <w:rFonts w:ascii="仿宋_GB2312" w:hAnsi="仿宋_GB2312" w:cs="仿宋_GB2312" w:eastAsia="仿宋_GB2312"/>
                <w:sz w:val="21"/>
                <w:b/>
              </w:rPr>
              <w:t>名男性</w:t>
            </w:r>
            <w:r>
              <w:rPr>
                <w:rFonts w:ascii="仿宋_GB2312" w:hAnsi="仿宋_GB2312" w:cs="仿宋_GB2312" w:eastAsia="仿宋_GB2312"/>
                <w:sz w:val="21"/>
                <w:b/>
              </w:rPr>
              <w:t>)</w:t>
            </w:r>
            <w:r>
              <w:rPr>
                <w:rFonts w:ascii="仿宋_GB2312" w:hAnsi="仿宋_GB2312" w:cs="仿宋_GB2312" w:eastAsia="仿宋_GB2312"/>
                <w:sz w:val="21"/>
                <w:b/>
              </w:rPr>
              <w:t>；工程维护人员不少于</w:t>
            </w:r>
            <w:r>
              <w:rPr>
                <w:rFonts w:ascii="仿宋_GB2312" w:hAnsi="仿宋_GB2312" w:cs="仿宋_GB2312" w:eastAsia="仿宋_GB2312"/>
                <w:sz w:val="21"/>
                <w:b/>
              </w:rPr>
              <w:t>4</w:t>
            </w:r>
            <w:r>
              <w:rPr>
                <w:rFonts w:ascii="仿宋_GB2312" w:hAnsi="仿宋_GB2312" w:cs="仿宋_GB2312" w:eastAsia="仿宋_GB2312"/>
                <w:sz w:val="21"/>
                <w:b/>
              </w:rPr>
              <w:t>人（含锅炉工</w:t>
            </w:r>
            <w:r>
              <w:rPr>
                <w:rFonts w:ascii="仿宋_GB2312" w:hAnsi="仿宋_GB2312" w:cs="仿宋_GB2312" w:eastAsia="仿宋_GB2312"/>
                <w:sz w:val="21"/>
                <w:b/>
              </w:rPr>
              <w:t>2</w:t>
            </w:r>
            <w:r>
              <w:rPr>
                <w:rFonts w:ascii="仿宋_GB2312" w:hAnsi="仿宋_GB2312" w:cs="仿宋_GB2312" w:eastAsia="仿宋_GB2312"/>
                <w:sz w:val="21"/>
                <w:b/>
              </w:rPr>
              <w:t>人）；物业经理不少于</w:t>
            </w:r>
            <w:r>
              <w:rPr>
                <w:rFonts w:ascii="仿宋_GB2312" w:hAnsi="仿宋_GB2312" w:cs="仿宋_GB2312" w:eastAsia="仿宋_GB2312"/>
                <w:sz w:val="21"/>
                <w:b/>
              </w:rPr>
              <w:t>1</w:t>
            </w:r>
            <w:r>
              <w:rPr>
                <w:rFonts w:ascii="仿宋_GB2312" w:hAnsi="仿宋_GB2312" w:cs="仿宋_GB2312" w:eastAsia="仿宋_GB2312"/>
                <w:sz w:val="21"/>
                <w:b/>
              </w:rPr>
              <w:t>名。</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服务期限：自签订合同后一年。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根据学校的要求，依据项目内容为学校做好本次项目服务工作。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配合学校做好学生的安全保障工作，确保场地及周边环境整洁、绿化养护及时，各种设施设备安全运行，提前检查周边设施是否有安全隐患。</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配合学校做好各类接待、活动保障工作，并按照学校要求做好其他临时性工作，包括不限于校园文化布置等工作。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报价包含人员工资、社会保险费、各种加班费、企业管理费、利润、税金、制衣费、保洁工器具费用、垃圾清运费等为完整本项目所涉及的一切费用。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人员其他要求：人员年龄均在60周岁以内、身体健康，无心理问题及精神疾病史，未携带或感染各类法定传染性疾病。工程维护人员具有电工、锅炉、消防等相关从业证书；物业经理且具备相关物业工作管理经验。中标后，派驻学校的工作人员，需向学校提交相关人员的体检合格证明材料（此费用已包含在本次报价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服务标准或规范参照合同质量要求，按照本行业标准和学校制定执行的接待服务标准为依据。学校如有特殊要求，双方协商解决处理。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完成1/4服务时限后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完成3/4服务时限后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供应商需要在线提交所有通过电子化交易平台实施的政府采购项目的响应文件，同时，线下提交纸质响应文件正本一份、副本一份，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供应商在本项目磋商响应文件递交截止时间前六个月内任意一个月的税收缴纳凭证；（依法免税的供应商应提供相关文件证明） 3.社会保障资金缴纳证明：供应商在本项目磋商响应文件递交截止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法人或者其他组织提供营业执照（或事业单位法人证书）等证明文件，自然人提供身份证件，供应商需在项目电子化交易系统中按要求上传相应证明文件并进行电子签章。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响应文件封面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服务计划书详细、合理、全面。</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管理及服务方案符合实地要求。</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保洁区域所设置达到相关标准。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具有详细的内部管理架构、工作流程、激励机制、信息反馈渠道。</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安全事故处理措施，包括：意外伤害赔偿、风险规避措施。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节假日及重大活动服务预案。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承包区域人员分配方案。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保洁、绿化作业工作组织方案。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管理人员与采购人工作配合的保障措施。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保洁环境管理及考核的措施。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3、拟投入的设备、劳保用品、清洁工具、通讯工具数量种类配置。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