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BCCD1">
      <w:pPr>
        <w:pStyle w:val="2"/>
        <w:numPr>
          <w:ilvl w:val="0"/>
          <w:numId w:val="0"/>
        </w:numPr>
        <w:ind w:firstLine="3600" w:firstLineChars="1000"/>
        <w:jc w:val="both"/>
        <w:outlineLvl w:val="0"/>
      </w:pPr>
      <w:r>
        <w:rPr>
          <w:rFonts w:hint="eastAsia" w:ascii="Times New Roman" w:hAnsi="Times New Roman" w:cs="Times New Roman"/>
        </w:rPr>
        <w:t>拟签订的合同文本</w:t>
      </w:r>
    </w:p>
    <w:p w14:paraId="23B4D9E6"/>
    <w:p w14:paraId="62CBCA07">
      <w:pPr>
        <w:autoSpaceDE w:val="0"/>
        <w:spacing w:line="240" w:lineRule="auto"/>
        <w:ind w:firstLine="210" w:firstLineChars="100"/>
        <w:rPr>
          <w:rFonts w:hint="eastAsia" w:ascii="宋体" w:hAnsi="宋体" w:eastAsia="宋体" w:cs="宋体"/>
          <w:b/>
          <w:bCs/>
          <w:szCs w:val="21"/>
          <w:u w:val="single"/>
          <w:lang w:val="en-US" w:eastAsia="zh-CN"/>
        </w:rPr>
      </w:pPr>
      <w:r>
        <w:rPr>
          <w:rFonts w:hint="eastAsia" w:ascii="宋体" w:hAnsi="宋体" w:eastAsia="宋体" w:cs="宋体"/>
          <w:b/>
          <w:bCs/>
          <w:szCs w:val="21"/>
        </w:rPr>
        <w:t>甲方：</w:t>
      </w:r>
      <w:r>
        <w:rPr>
          <w:rFonts w:hint="eastAsia" w:ascii="宋体" w:hAnsi="宋体" w:eastAsia="宋体" w:cs="宋体"/>
          <w:b/>
          <w:bCs/>
          <w:szCs w:val="21"/>
          <w:u w:val="single"/>
          <w:lang w:val="en-US" w:eastAsia="zh-CN"/>
        </w:rPr>
        <w:t xml:space="preserve">                         </w:t>
      </w:r>
      <w:r>
        <w:rPr>
          <w:rFonts w:hint="eastAsia" w:ascii="宋体" w:hAnsi="宋体" w:eastAsia="宋体" w:cs="宋体"/>
          <w:b/>
          <w:bCs/>
          <w:szCs w:val="21"/>
          <w:u w:val="none"/>
          <w:lang w:val="en-US" w:eastAsia="zh-CN"/>
        </w:rPr>
        <w:t xml:space="preserve">  </w:t>
      </w:r>
    </w:p>
    <w:p w14:paraId="16954E02">
      <w:pPr>
        <w:autoSpaceDE w:val="0"/>
        <w:spacing w:after="100" w:afterAutospacing="1" w:line="240" w:lineRule="auto"/>
        <w:ind w:firstLine="210" w:firstLineChars="100"/>
        <w:rPr>
          <w:rFonts w:ascii="Calibri" w:hAnsi="Calibri" w:cs="Calibri"/>
          <w:b/>
          <w:bCs/>
          <w:sz w:val="21"/>
          <w:szCs w:val="21"/>
          <w:u w:val="single"/>
        </w:rPr>
      </w:pPr>
      <w:r>
        <w:rPr>
          <w:rFonts w:hint="eastAsia" w:ascii="宋体" w:hAnsi="宋体" w:eastAsia="宋体" w:cs="宋体"/>
          <w:b/>
          <w:bCs/>
          <w:szCs w:val="21"/>
        </w:rPr>
        <w:t>乙方：</w:t>
      </w:r>
      <w:r>
        <w:rPr>
          <w:rFonts w:hint="eastAsia" w:ascii="宋体" w:hAnsi="宋体" w:eastAsia="宋体" w:cs="宋体"/>
          <w:b/>
          <w:bCs/>
          <w:szCs w:val="21"/>
          <w:u w:val="single"/>
          <w:lang w:val="en-US" w:eastAsia="zh-CN"/>
        </w:rPr>
        <w:t xml:space="preserve">                         </w:t>
      </w:r>
      <w:r>
        <w:rPr>
          <w:rFonts w:hint="eastAsia" w:ascii="宋体" w:hAnsi="宋体" w:eastAsia="宋体" w:cs="宋体"/>
          <w:b/>
          <w:bCs/>
          <w:szCs w:val="21"/>
          <w:u w:val="none"/>
          <w:lang w:val="en-US" w:eastAsia="zh-CN"/>
        </w:rPr>
        <w:t xml:space="preserve">    </w:t>
      </w:r>
      <w:r>
        <w:rPr>
          <w:rFonts w:hint="eastAsia"/>
          <w:b/>
          <w:bCs/>
          <w:szCs w:val="21"/>
          <w:u w:val="none"/>
          <w:lang w:val="en-US" w:eastAsia="zh-CN"/>
        </w:rPr>
        <w:t xml:space="preserve">                </w:t>
      </w:r>
      <w:r>
        <w:rPr>
          <w:rFonts w:hint="eastAsia"/>
          <w:b/>
          <w:bCs/>
          <w:szCs w:val="21"/>
          <w:u w:val="none"/>
        </w:rPr>
        <w:t xml:space="preserve"> </w:t>
      </w:r>
      <w:r>
        <w:rPr>
          <w:rFonts w:hint="eastAsia"/>
          <w:b/>
          <w:bCs/>
          <w:szCs w:val="21"/>
          <w:u w:val="none"/>
          <w:lang w:val="en-US" w:eastAsia="zh-CN"/>
        </w:rPr>
        <w:t xml:space="preserve"> </w:t>
      </w:r>
    </w:p>
    <w:p w14:paraId="0BD1F83B">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根据《中华人民共和国民法典》及其他相关法律、法规的规定，遵循平等、自愿、公平和诚信的原则，双方就乙方对甲方负责的</w:t>
      </w:r>
      <w:r>
        <w:rPr>
          <w:rFonts w:hint="eastAsia" w:ascii="宋体" w:hAnsi="宋体" w:cs="Times New Roman"/>
          <w:sz w:val="21"/>
          <w:szCs w:val="21"/>
          <w:u w:val="single"/>
          <w:lang w:val="en-US" w:eastAsia="zh-CN"/>
        </w:rPr>
        <w:t xml:space="preserve">                    </w:t>
      </w:r>
      <w:r>
        <w:rPr>
          <w:rFonts w:hint="eastAsia" w:ascii="宋体" w:hAnsi="宋体" w:cs="Times New Roman"/>
          <w:sz w:val="21"/>
          <w:szCs w:val="21"/>
          <w:lang w:val="en-US" w:eastAsia="zh-CN"/>
        </w:rPr>
        <w:t>项目</w:t>
      </w:r>
      <w:r>
        <w:rPr>
          <w:rFonts w:hint="eastAsia" w:ascii="宋体" w:hAnsi="宋体" w:eastAsia="宋体" w:cs="Times New Roman"/>
          <w:sz w:val="21"/>
          <w:szCs w:val="21"/>
          <w:lang w:val="en-US" w:eastAsia="zh-CN"/>
        </w:rPr>
        <w:t>事宜，协商一致，签订本合同，以兹共同遵守。</w:t>
      </w:r>
    </w:p>
    <w:p w14:paraId="7C9C2FF9">
      <w:pPr>
        <w:spacing w:line="240" w:lineRule="auto"/>
        <w:ind w:firstLine="420" w:firstLineChars="200"/>
        <w:outlineLvl w:val="1"/>
        <w:rPr>
          <w:rFonts w:hint="eastAsia" w:ascii="宋体" w:hAnsi="宋体" w:eastAsia="宋体" w:cs="Times New Roman"/>
          <w:b/>
          <w:bCs/>
          <w:sz w:val="21"/>
          <w:szCs w:val="21"/>
          <w:lang w:val="en-US" w:eastAsia="zh-CN"/>
        </w:rPr>
      </w:pPr>
      <w:bookmarkStart w:id="0" w:name="_Toc20016"/>
      <w:r>
        <w:rPr>
          <w:rFonts w:hint="eastAsia" w:ascii="宋体" w:hAnsi="宋体" w:eastAsia="宋体" w:cs="Times New Roman"/>
          <w:b/>
          <w:bCs/>
          <w:sz w:val="21"/>
          <w:szCs w:val="21"/>
          <w:lang w:val="en-US" w:eastAsia="zh-CN"/>
        </w:rPr>
        <w:t>第一条  服务名称及地点</w:t>
      </w:r>
      <w:bookmarkEnd w:id="0"/>
    </w:p>
    <w:p w14:paraId="5A9B9DF1">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1.1项目名称：</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2CDCAA32">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1.2项目地点：</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5E6CBBED">
      <w:pPr>
        <w:numPr>
          <w:ilvl w:val="0"/>
          <w:numId w:val="1"/>
        </w:numPr>
        <w:spacing w:line="240" w:lineRule="auto"/>
        <w:ind w:firstLine="420" w:firstLineChars="200"/>
        <w:outlineLvl w:val="1"/>
        <w:rPr>
          <w:rFonts w:hint="eastAsia" w:ascii="宋体" w:hAnsi="宋体" w:eastAsia="宋体" w:cs="Times New Roman"/>
          <w:b/>
          <w:bCs/>
          <w:sz w:val="21"/>
          <w:szCs w:val="21"/>
          <w:lang w:val="en-US" w:eastAsia="zh-CN"/>
        </w:rPr>
      </w:pPr>
      <w:bookmarkStart w:id="1" w:name="_Toc5121"/>
      <w:r>
        <w:rPr>
          <w:rFonts w:hint="eastAsia" w:ascii="宋体" w:hAnsi="宋体" w:eastAsia="宋体" w:cs="Times New Roman"/>
          <w:b/>
          <w:bCs/>
          <w:sz w:val="21"/>
          <w:szCs w:val="21"/>
          <w:lang w:val="en-US" w:eastAsia="zh-CN"/>
        </w:rPr>
        <w:t xml:space="preserve"> 服务内容、范围及要求</w:t>
      </w:r>
      <w:bookmarkEnd w:id="1"/>
    </w:p>
    <w:p w14:paraId="62E523FD">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2.1服务内容：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p>
    <w:p w14:paraId="7962459E">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2.2服务范围：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p>
    <w:p w14:paraId="64F0291E">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2.3服务要求：</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p>
    <w:p w14:paraId="3263C5DD">
      <w:pPr>
        <w:spacing w:line="240" w:lineRule="auto"/>
        <w:ind w:firstLine="420" w:firstLineChars="200"/>
        <w:outlineLvl w:val="1"/>
        <w:rPr>
          <w:rFonts w:hint="eastAsia" w:ascii="宋体" w:hAnsi="宋体" w:eastAsia="宋体" w:cs="Times New Roman"/>
          <w:b/>
          <w:bCs/>
          <w:sz w:val="21"/>
          <w:szCs w:val="21"/>
          <w:lang w:val="en-US" w:eastAsia="zh-CN"/>
        </w:rPr>
      </w:pPr>
      <w:bookmarkStart w:id="2" w:name="_Toc29405"/>
      <w:r>
        <w:rPr>
          <w:rFonts w:hint="eastAsia" w:ascii="宋体" w:hAnsi="宋体" w:eastAsia="宋体" w:cs="Times New Roman"/>
          <w:b/>
          <w:bCs/>
          <w:sz w:val="21"/>
          <w:szCs w:val="21"/>
          <w:lang w:val="en-US" w:eastAsia="zh-CN"/>
        </w:rPr>
        <w:t>第三条  合同期限</w:t>
      </w:r>
      <w:bookmarkEnd w:id="2"/>
    </w:p>
    <w:p w14:paraId="42493F27">
      <w:pPr>
        <w:spacing w:line="240" w:lineRule="auto"/>
        <w:ind w:firstLine="420" w:firstLineChars="200"/>
        <w:rPr>
          <w:rFonts w:hint="eastAsia" w:ascii="宋体" w:hAnsi="宋体" w:cs="Times New Roman"/>
          <w:b/>
          <w:bCs/>
          <w:sz w:val="21"/>
          <w:szCs w:val="21"/>
          <w:lang w:val="en-US" w:eastAsia="zh-CN"/>
        </w:rPr>
      </w:pPr>
      <w:r>
        <w:rPr>
          <w:rFonts w:hint="eastAsia" w:ascii="宋体" w:hAnsi="宋体" w:cs="Times New Roman"/>
          <w:b/>
          <w:bCs/>
          <w:sz w:val="21"/>
          <w:szCs w:val="21"/>
          <w:lang w:val="en-US" w:eastAsia="zh-CN"/>
        </w:rPr>
        <w:t>合同</w:t>
      </w:r>
      <w:r>
        <w:rPr>
          <w:rFonts w:hint="eastAsia" w:ascii="宋体" w:hAnsi="宋体" w:eastAsia="宋体" w:cs="Times New Roman"/>
          <w:b/>
          <w:bCs/>
          <w:sz w:val="21"/>
          <w:szCs w:val="21"/>
          <w:lang w:val="en-US" w:eastAsia="zh-CN"/>
        </w:rPr>
        <w:t>期限：</w:t>
      </w:r>
      <w:r>
        <w:rPr>
          <w:rFonts w:hint="eastAsia" w:ascii="宋体" w:hAnsi="宋体" w:cs="Times New Roman"/>
          <w:b/>
          <w:bCs/>
          <w:sz w:val="21"/>
          <w:szCs w:val="21"/>
          <w:u w:val="single"/>
          <w:lang w:val="en-US" w:eastAsia="zh-CN"/>
        </w:rPr>
        <w:t xml:space="preserve">                                                       </w:t>
      </w:r>
      <w:r>
        <w:rPr>
          <w:rFonts w:hint="eastAsia" w:ascii="宋体" w:hAnsi="宋体" w:eastAsia="宋体" w:cs="Times New Roman"/>
          <w:b/>
          <w:bCs/>
          <w:sz w:val="21"/>
          <w:szCs w:val="21"/>
          <w:lang w:val="en-US" w:eastAsia="zh-CN"/>
        </w:rPr>
        <w:t>。</w:t>
      </w:r>
    </w:p>
    <w:p w14:paraId="5D88AB90">
      <w:pPr>
        <w:spacing w:line="240" w:lineRule="auto"/>
        <w:ind w:firstLine="420" w:firstLineChars="200"/>
        <w:outlineLvl w:val="1"/>
        <w:rPr>
          <w:rFonts w:hint="eastAsia" w:ascii="宋体" w:hAnsi="宋体" w:eastAsia="宋体" w:cs="Times New Roman"/>
          <w:b/>
          <w:bCs/>
          <w:sz w:val="21"/>
          <w:szCs w:val="21"/>
          <w:lang w:val="en-US" w:eastAsia="zh-CN"/>
        </w:rPr>
      </w:pPr>
      <w:bookmarkStart w:id="3" w:name="_Toc16719"/>
      <w:r>
        <w:rPr>
          <w:rFonts w:hint="eastAsia" w:ascii="宋体" w:hAnsi="宋体" w:eastAsia="宋体" w:cs="Times New Roman"/>
          <w:b/>
          <w:bCs/>
          <w:sz w:val="21"/>
          <w:szCs w:val="21"/>
          <w:lang w:val="en-US" w:eastAsia="zh-CN"/>
        </w:rPr>
        <w:t>第四条  合同价款及结算</w:t>
      </w:r>
      <w:bookmarkEnd w:id="3"/>
    </w:p>
    <w:p w14:paraId="53ABDADC">
      <w:pPr>
        <w:spacing w:line="240" w:lineRule="auto"/>
        <w:ind w:firstLine="420" w:firstLineChars="200"/>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4.1合同价款为：</w:t>
      </w:r>
    </w:p>
    <w:p w14:paraId="173E0820">
      <w:pPr>
        <w:spacing w:line="24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 xml:space="preserve">4.1 </w:t>
      </w:r>
      <w:r>
        <w:rPr>
          <w:rFonts w:hint="eastAsia" w:ascii="宋体" w:hAnsi="宋体" w:eastAsia="宋体" w:cs="宋体"/>
          <w:snapToGrid/>
          <w:color w:val="auto"/>
          <w:kern w:val="2"/>
          <w:highlight w:val="none"/>
        </w:rPr>
        <w:t>本合同价格形式：</w:t>
      </w:r>
      <w:r>
        <w:rPr>
          <w:rFonts w:hint="eastAsia" w:ascii="宋体" w:hAnsi="宋体" w:eastAsia="宋体" w:cs="宋体"/>
          <w:b/>
          <w:bCs/>
          <w:snapToGrid/>
          <w:color w:val="auto"/>
          <w:kern w:val="2"/>
          <w:highlight w:val="none"/>
        </w:rPr>
        <w:t>总价合同（固定总价）</w:t>
      </w:r>
      <w:r>
        <w:rPr>
          <w:rFonts w:hint="eastAsia" w:ascii="宋体" w:hAnsi="宋体" w:eastAsia="宋体" w:cs="宋体"/>
          <w:b/>
          <w:bCs/>
          <w:snapToGrid/>
          <w:color w:val="auto"/>
          <w:kern w:val="2"/>
          <w:highlight w:val="none"/>
          <w:lang w:val="en-US" w:eastAsia="zh-CN"/>
        </w:rPr>
        <w:t xml:space="preserve"> </w:t>
      </w:r>
    </w:p>
    <w:p w14:paraId="1E9C243E">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4.2</w:t>
      </w:r>
      <w:r>
        <w:rPr>
          <w:rFonts w:hint="eastAsia" w:ascii="宋体" w:hAnsi="宋体" w:eastAsia="宋体" w:cs="Times New Roman"/>
          <w:b/>
          <w:bCs/>
          <w:sz w:val="21"/>
          <w:szCs w:val="21"/>
          <w:highlight w:val="none"/>
          <w:lang w:val="en-US" w:eastAsia="zh-CN"/>
        </w:rPr>
        <w:t>人民币（大写）</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u w:val="none"/>
          <w:lang w:val="en-US" w:eastAsia="zh-CN"/>
        </w:rPr>
        <w:t>元</w:t>
      </w:r>
      <w:r>
        <w:rPr>
          <w:rFonts w:hint="eastAsia" w:ascii="宋体" w:hAnsi="宋体" w:eastAsia="宋体" w:cs="Times New Roman"/>
          <w:b/>
          <w:bCs/>
          <w:sz w:val="21"/>
          <w:szCs w:val="21"/>
          <w:highlight w:val="none"/>
          <w:lang w:val="en-US" w:eastAsia="zh-CN"/>
        </w:rPr>
        <w:t>）。</w:t>
      </w:r>
    </w:p>
    <w:p w14:paraId="59DDA2D3">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sz w:val="21"/>
          <w:szCs w:val="21"/>
          <w:highlight w:val="none"/>
          <w:lang w:val="en-US" w:eastAsia="zh-CN"/>
        </w:rPr>
        <w:t>、</w:t>
      </w:r>
      <w:r>
        <w:rPr>
          <w:rFonts w:hint="eastAsia" w:ascii="宋体" w:hAnsi="宋体" w:eastAsia="宋体" w:cs="Times New Roman"/>
          <w:b/>
          <w:bCs/>
          <w:sz w:val="21"/>
          <w:szCs w:val="21"/>
          <w:highlight w:val="none"/>
          <w:lang w:val="en-US" w:eastAsia="zh-CN"/>
        </w:rPr>
        <w:t>人员工资、社会保险费、各种加班费、企业管理费、利润、税金、制衣费等完成本项目服务所需的全部费用。</w:t>
      </w:r>
    </w:p>
    <w:p w14:paraId="689D6E8D">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 xml:space="preserve"> 付款条件说明：</w:t>
      </w:r>
    </w:p>
    <w:p w14:paraId="62D0F7FC">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4.3.1</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服务时限后，达到付款条件起15日内，支付合同总金额的</w:t>
      </w:r>
      <w:r>
        <w:rPr>
          <w:rFonts w:hint="eastAsia" w:ascii="宋体" w:hAnsi="宋体" w:cs="Times New Roman"/>
          <w:b/>
          <w:bCs/>
          <w:sz w:val="21"/>
          <w:szCs w:val="21"/>
          <w:highlight w:val="none"/>
          <w:lang w:val="en-US" w:eastAsia="zh-CN"/>
        </w:rPr>
        <w:t>25</w:t>
      </w:r>
      <w:r>
        <w:rPr>
          <w:rFonts w:hint="eastAsia" w:ascii="宋体" w:hAnsi="宋体" w:eastAsia="宋体" w:cs="Times New Roman"/>
          <w:b/>
          <w:bCs/>
          <w:sz w:val="21"/>
          <w:szCs w:val="21"/>
          <w:highlight w:val="none"/>
          <w:lang w:val="en-US" w:eastAsia="zh-CN"/>
        </w:rPr>
        <w:t>.00%。</w:t>
      </w:r>
    </w:p>
    <w:p w14:paraId="4E65F27B">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4.3.2</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2</w:t>
      </w:r>
      <w:r>
        <w:rPr>
          <w:rFonts w:hint="eastAsia" w:ascii="宋体" w:hAnsi="宋体" w:eastAsia="宋体" w:cs="Times New Roman"/>
          <w:b/>
          <w:bCs/>
          <w:sz w:val="21"/>
          <w:szCs w:val="21"/>
          <w:highlight w:val="none"/>
          <w:lang w:val="en-US" w:eastAsia="zh-CN"/>
        </w:rPr>
        <w:t>服务时限后，达到付款条件起15日内，支付合同总金额的</w:t>
      </w:r>
      <w:r>
        <w:rPr>
          <w:rFonts w:hint="eastAsia" w:ascii="宋体" w:hAnsi="宋体" w:cs="Times New Roman"/>
          <w:b/>
          <w:bCs/>
          <w:sz w:val="21"/>
          <w:szCs w:val="21"/>
          <w:highlight w:val="none"/>
          <w:lang w:val="en-US" w:eastAsia="zh-CN"/>
        </w:rPr>
        <w:t>25</w:t>
      </w:r>
      <w:r>
        <w:rPr>
          <w:rFonts w:hint="eastAsia" w:ascii="宋体" w:hAnsi="宋体" w:eastAsia="宋体" w:cs="Times New Roman"/>
          <w:b/>
          <w:bCs/>
          <w:sz w:val="21"/>
          <w:szCs w:val="21"/>
          <w:highlight w:val="none"/>
          <w:lang w:val="en-US" w:eastAsia="zh-CN"/>
        </w:rPr>
        <w:t>.00%。</w:t>
      </w:r>
    </w:p>
    <w:p w14:paraId="464F506C">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4.3.3</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服务时限后，达到付款条件起15日内，支付合同总金额的</w:t>
      </w:r>
      <w:r>
        <w:rPr>
          <w:rFonts w:hint="eastAsia" w:ascii="宋体" w:hAnsi="宋体" w:cs="Times New Roman"/>
          <w:b/>
          <w:bCs/>
          <w:sz w:val="21"/>
          <w:szCs w:val="21"/>
          <w:highlight w:val="none"/>
          <w:lang w:val="en-US" w:eastAsia="zh-CN"/>
        </w:rPr>
        <w:t>25</w:t>
      </w:r>
      <w:r>
        <w:rPr>
          <w:rFonts w:hint="eastAsia" w:ascii="宋体" w:hAnsi="宋体" w:eastAsia="宋体" w:cs="Times New Roman"/>
          <w:b/>
          <w:bCs/>
          <w:sz w:val="21"/>
          <w:szCs w:val="21"/>
          <w:highlight w:val="none"/>
          <w:lang w:val="en-US" w:eastAsia="zh-CN"/>
        </w:rPr>
        <w:t>.00%。</w:t>
      </w:r>
    </w:p>
    <w:p w14:paraId="15291B5B">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4.3.4</w:t>
      </w:r>
      <w:r>
        <w:rPr>
          <w:rFonts w:hint="eastAsia" w:ascii="宋体" w:hAnsi="宋体" w:eastAsia="宋体" w:cs="Times New Roman"/>
          <w:b/>
          <w:bCs/>
          <w:sz w:val="21"/>
          <w:szCs w:val="21"/>
          <w:highlight w:val="none"/>
          <w:lang w:val="en-US" w:eastAsia="zh-CN"/>
        </w:rPr>
        <w:t>完成全部任务验收完毕，达到付款条件起 15 日内，支付合同总金额的</w:t>
      </w:r>
      <w:r>
        <w:rPr>
          <w:rFonts w:hint="eastAsia" w:ascii="宋体" w:hAnsi="宋体" w:cs="Times New Roman"/>
          <w:b/>
          <w:bCs/>
          <w:sz w:val="21"/>
          <w:szCs w:val="21"/>
          <w:highlight w:val="none"/>
          <w:lang w:val="en-US" w:eastAsia="zh-CN"/>
        </w:rPr>
        <w:t>25</w:t>
      </w:r>
      <w:r>
        <w:rPr>
          <w:rFonts w:hint="eastAsia" w:ascii="宋体" w:hAnsi="宋体" w:eastAsia="宋体" w:cs="Times New Roman"/>
          <w:b/>
          <w:bCs/>
          <w:sz w:val="21"/>
          <w:szCs w:val="21"/>
          <w:highlight w:val="none"/>
          <w:lang w:val="en-US" w:eastAsia="zh-CN"/>
        </w:rPr>
        <w:t>.00%。</w:t>
      </w:r>
    </w:p>
    <w:p w14:paraId="32128333">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4.4 甲方付款前，乙方按甲方要求开具发票。</w:t>
      </w:r>
    </w:p>
    <w:p w14:paraId="0215ED66">
      <w:pPr>
        <w:spacing w:line="240" w:lineRule="auto"/>
        <w:ind w:firstLine="420" w:firstLineChars="200"/>
        <w:outlineLvl w:val="1"/>
        <w:rPr>
          <w:rFonts w:hint="eastAsia" w:ascii="宋体" w:hAnsi="宋体" w:eastAsia="宋体" w:cs="Times New Roman"/>
          <w:b/>
          <w:bCs/>
          <w:sz w:val="21"/>
          <w:szCs w:val="21"/>
          <w:lang w:val="en-US" w:eastAsia="zh-CN"/>
        </w:rPr>
      </w:pPr>
      <w:bookmarkStart w:id="4" w:name="_Toc24855"/>
      <w:r>
        <w:rPr>
          <w:rFonts w:hint="eastAsia" w:ascii="宋体" w:hAnsi="宋体" w:eastAsia="宋体" w:cs="Times New Roman"/>
          <w:b/>
          <w:bCs/>
          <w:sz w:val="21"/>
          <w:szCs w:val="21"/>
          <w:lang w:val="en-US" w:eastAsia="zh-CN"/>
        </w:rPr>
        <w:t>第五条  甲方的权利和义务</w:t>
      </w:r>
      <w:bookmarkEnd w:id="4"/>
    </w:p>
    <w:p w14:paraId="2060E1A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5.1 对乙方所呈报的问题及时给予答复。</w:t>
      </w:r>
    </w:p>
    <w:p w14:paraId="0E2EF854">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5.2 有权对乙方配置人员进行身份和资格核查、备案。</w:t>
      </w:r>
    </w:p>
    <w:p w14:paraId="7D05E2B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5.3 在服务过程中甲方现场工作人员有权对乙方派驻人员的具体工作进行调整安排，同时有权对乙方的服务工作提出合理化建议，并要求乙方限期改正。</w:t>
      </w:r>
    </w:p>
    <w:p w14:paraId="255DDC4D">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5.4有义务根据约定及时结算和支付合同费用。</w:t>
      </w:r>
    </w:p>
    <w:p w14:paraId="775417D4">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5.5有义务协助乙方共同提高服务质量。</w:t>
      </w:r>
    </w:p>
    <w:p w14:paraId="0F033189">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5.6 甲方有权要求乙方调换不符合甲方要求、不服从甲方安排及可能影服务的派驻人员。</w:t>
      </w:r>
    </w:p>
    <w:p w14:paraId="29F55D31">
      <w:pPr>
        <w:spacing w:line="240" w:lineRule="auto"/>
        <w:ind w:firstLine="420" w:firstLineChars="200"/>
        <w:outlineLvl w:val="1"/>
        <w:rPr>
          <w:rFonts w:hint="eastAsia" w:ascii="宋体" w:hAnsi="宋体" w:eastAsia="宋体" w:cs="Times New Roman"/>
          <w:b/>
          <w:bCs/>
          <w:sz w:val="21"/>
          <w:szCs w:val="21"/>
          <w:lang w:val="en-US" w:eastAsia="zh-CN"/>
        </w:rPr>
      </w:pPr>
      <w:bookmarkStart w:id="5" w:name="_Toc15311"/>
      <w:r>
        <w:rPr>
          <w:rFonts w:hint="eastAsia" w:ascii="宋体" w:hAnsi="宋体" w:eastAsia="宋体" w:cs="Times New Roman"/>
          <w:b/>
          <w:bCs/>
          <w:sz w:val="21"/>
          <w:szCs w:val="21"/>
          <w:lang w:val="en-US" w:eastAsia="zh-CN"/>
        </w:rPr>
        <w:t>第六条  乙方的权利和义务</w:t>
      </w:r>
      <w:bookmarkEnd w:id="5"/>
    </w:p>
    <w:p w14:paraId="705A3595">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6.1 乙方须科学建立管理机构、配置关键岗位，保证机构设置完整、合理、精干高效。乙方负责培训、岗位分配、工资发放、考勤考核等。</w:t>
      </w:r>
    </w:p>
    <w:p w14:paraId="401BF25F">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6.2 乙方应保证其配置人员符合国家、行业规定的准入条件、上岗条件和甲方要求。乙方有义务对其人员进行上岗培训、管理教育，确保能圆满顺利完成任务。</w:t>
      </w:r>
    </w:p>
    <w:p w14:paraId="00D51A63">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6.3乙方项目负责人负责本项目派驻人员的管理、生产组织及相关资料建立等，组织队伍完成合同规定的工作内容。</w:t>
      </w:r>
    </w:p>
    <w:p w14:paraId="60C777C3">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6.4 对于服务中出现的投诉、事故，乙方应当自行处理，对于涉及甲方工作质量、荣誉、经济损失等重大问题时，需向甲方有关负责人及时沟通汇报。</w:t>
      </w:r>
    </w:p>
    <w:p w14:paraId="16553F9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6.5乙方应当根据工作量及服务标准，足量配置员工队伍，保证派驻人员服从甲方工作人员的指挥和安排。</w:t>
      </w:r>
    </w:p>
    <w:p w14:paraId="7D42619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6.6 未经甲方事先书面同意，乙方不得将本合同全部或者部分转包给第三方。</w:t>
      </w:r>
    </w:p>
    <w:p w14:paraId="4E6700D5">
      <w:pPr>
        <w:pStyle w:val="7"/>
        <w:spacing w:line="360" w:lineRule="auto"/>
        <w:ind w:firstLine="559"/>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w:t>
      </w:r>
      <w:r>
        <w:rPr>
          <w:rFonts w:hint="eastAsia" w:ascii="宋体" w:hAnsi="宋体" w:cs="Times New Roman"/>
          <w:sz w:val="21"/>
          <w:szCs w:val="21"/>
          <w:lang w:val="en-US" w:eastAsia="zh-CN"/>
        </w:rPr>
        <w:t>7</w:t>
      </w:r>
      <w:r>
        <w:rPr>
          <w:rFonts w:hint="eastAsia" w:ascii="宋体" w:hAnsi="宋体" w:eastAsia="宋体" w:cs="Times New Roman"/>
          <w:sz w:val="21"/>
          <w:szCs w:val="21"/>
          <w:lang w:val="en-US" w:eastAsia="zh-CN"/>
        </w:rPr>
        <w:t xml:space="preserve"> 乙方应执行《劳动法》的相关规定，确保人员稳定。</w:t>
      </w:r>
    </w:p>
    <w:p w14:paraId="1233BC30">
      <w:pPr>
        <w:spacing w:line="360" w:lineRule="auto"/>
        <w:ind w:firstLine="420" w:firstLineChars="200"/>
        <w:outlineLvl w:val="1"/>
        <w:rPr>
          <w:rFonts w:hint="eastAsia" w:ascii="宋体" w:hAnsi="宋体" w:eastAsia="宋体" w:cs="Times New Roman"/>
          <w:b/>
          <w:bCs/>
          <w:sz w:val="21"/>
          <w:szCs w:val="21"/>
          <w:lang w:val="en-US" w:eastAsia="zh-CN"/>
        </w:rPr>
      </w:pPr>
      <w:bookmarkStart w:id="6" w:name="_Toc11049"/>
      <w:r>
        <w:rPr>
          <w:rFonts w:hint="eastAsia" w:ascii="宋体" w:hAnsi="宋体" w:eastAsia="宋体" w:cs="Times New Roman"/>
          <w:b/>
          <w:bCs/>
          <w:sz w:val="21"/>
          <w:szCs w:val="21"/>
          <w:lang w:val="en-US" w:eastAsia="zh-CN"/>
        </w:rPr>
        <w:t>第七条  安全责任划分</w:t>
      </w:r>
      <w:bookmarkEnd w:id="6"/>
    </w:p>
    <w:p w14:paraId="1A6F10D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00710C5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7.2乙方必须按照法律相关规定对人身安全负责。</w:t>
      </w:r>
    </w:p>
    <w:p w14:paraId="1861D76C">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7.3乙方派驻人员的道路交通安全由乙方负责。工作期间发生的道路交通安全事故责任，以公安部门认定为准。乙方单位或工作人员原因导致的道路交通责任事故，由乙方负责处理。</w:t>
      </w:r>
    </w:p>
    <w:p w14:paraId="51D60F1F">
      <w:pPr>
        <w:spacing w:line="360" w:lineRule="auto"/>
        <w:ind w:firstLine="420" w:firstLineChars="200"/>
        <w:outlineLvl w:val="1"/>
        <w:rPr>
          <w:rFonts w:hint="eastAsia" w:ascii="宋体" w:hAnsi="宋体" w:eastAsia="宋体" w:cs="Times New Roman"/>
          <w:sz w:val="21"/>
          <w:szCs w:val="21"/>
          <w:highlight w:val="none"/>
          <w:lang w:val="en-US" w:eastAsia="zh-CN"/>
        </w:rPr>
      </w:pPr>
      <w:bookmarkStart w:id="7" w:name="_Toc5512"/>
      <w:r>
        <w:rPr>
          <w:rFonts w:hint="eastAsia" w:ascii="宋体" w:hAnsi="宋体" w:eastAsia="宋体" w:cs="Times New Roman"/>
          <w:b/>
          <w:bCs/>
          <w:sz w:val="21"/>
          <w:szCs w:val="21"/>
          <w:highlight w:val="none"/>
          <w:lang w:val="en-US" w:eastAsia="zh-CN"/>
        </w:rPr>
        <w:t>第八条 违约责任</w:t>
      </w:r>
      <w:bookmarkEnd w:id="7"/>
      <w:r>
        <w:rPr>
          <w:rFonts w:hint="eastAsia" w:ascii="宋体" w:hAnsi="宋体" w:eastAsia="宋体" w:cs="Times New Roman"/>
          <w:sz w:val="21"/>
          <w:szCs w:val="21"/>
          <w:highlight w:val="none"/>
          <w:lang w:val="en-US" w:eastAsia="zh-CN"/>
        </w:rPr>
        <w:t xml:space="preserve"> </w:t>
      </w:r>
    </w:p>
    <w:p w14:paraId="2A43096D">
      <w:pPr>
        <w:spacing w:line="360" w:lineRule="auto"/>
        <w:ind w:firstLine="420" w:firstLineChars="200"/>
        <w:rPr>
          <w:rFonts w:hint="eastAsia" w:ascii="宋体" w:hAnsi="宋体" w:eastAsia="宋体" w:cs="Times New Roman"/>
          <w:b w:val="0"/>
          <w:bCs w:val="0"/>
          <w:sz w:val="21"/>
          <w:szCs w:val="21"/>
          <w:highlight w:val="none"/>
          <w:lang w:val="en-US" w:eastAsia="zh-CN"/>
        </w:rPr>
      </w:pPr>
      <w:bookmarkStart w:id="8" w:name="_Toc18518"/>
      <w:r>
        <w:rPr>
          <w:rFonts w:hint="eastAsia" w:ascii="宋体" w:hAnsi="宋体" w:eastAsia="宋体" w:cs="Times New Roman"/>
          <w:b w:val="0"/>
          <w:bCs w:val="0"/>
          <w:sz w:val="21"/>
          <w:szCs w:val="21"/>
          <w:highlight w:val="none"/>
          <w:lang w:val="en-US" w:eastAsia="zh-CN"/>
        </w:rPr>
        <w:t>8.1履约保证金或履约担保的形式：</w:t>
      </w:r>
      <w:r>
        <w:rPr>
          <w:rFonts w:hint="eastAsia" w:ascii="宋体" w:hAnsi="宋体" w:cs="Times New Roman"/>
          <w:b w:val="0"/>
          <w:bCs w:val="0"/>
          <w:sz w:val="21"/>
          <w:szCs w:val="21"/>
          <w:highlight w:val="none"/>
          <w:u w:val="single"/>
          <w:lang w:val="en-US" w:eastAsia="zh-CN"/>
        </w:rPr>
        <w:t>/</w:t>
      </w:r>
    </w:p>
    <w:p w14:paraId="7289FE07">
      <w:pPr>
        <w:spacing w:line="360" w:lineRule="auto"/>
        <w:ind w:firstLine="630" w:firstLineChars="300"/>
        <w:rPr>
          <w:rFonts w:hint="eastAsia" w:ascii="宋体" w:hAnsi="宋体" w:eastAsia="宋体" w:cs="Times New Roman"/>
          <w:b w:val="0"/>
          <w:bCs w:val="0"/>
          <w:sz w:val="21"/>
          <w:szCs w:val="21"/>
          <w:highlight w:val="none"/>
          <w:u w:val="single"/>
          <w:lang w:val="en-US" w:eastAsia="zh-CN"/>
        </w:rPr>
      </w:pPr>
      <w:r>
        <w:rPr>
          <w:rFonts w:hint="eastAsia" w:ascii="宋体" w:hAnsi="宋体" w:eastAsia="宋体" w:cs="Times New Roman"/>
          <w:b w:val="0"/>
          <w:bCs w:val="0"/>
          <w:sz w:val="21"/>
          <w:szCs w:val="21"/>
          <w:highlight w:val="none"/>
          <w:lang w:val="en-US" w:eastAsia="zh-CN"/>
        </w:rPr>
        <w:t>履约保证金或履约担保的金额：</w:t>
      </w:r>
      <w:r>
        <w:rPr>
          <w:rFonts w:hint="eastAsia" w:ascii="宋体" w:hAnsi="宋体" w:cs="Times New Roman"/>
          <w:b w:val="0"/>
          <w:bCs w:val="0"/>
          <w:sz w:val="21"/>
          <w:szCs w:val="21"/>
          <w:highlight w:val="none"/>
          <w:u w:val="single"/>
          <w:lang w:val="en-US" w:eastAsia="zh-CN"/>
        </w:rPr>
        <w:t>/</w:t>
      </w:r>
    </w:p>
    <w:p w14:paraId="10475AEB">
      <w:pPr>
        <w:spacing w:line="360" w:lineRule="auto"/>
        <w:ind w:firstLine="630" w:firstLineChars="300"/>
        <w:rPr>
          <w:rFonts w:hint="eastAsia" w:ascii="宋体" w:hAnsi="宋体" w:cs="Times New Roman"/>
          <w:b w:val="0"/>
          <w:bCs w:val="0"/>
          <w:sz w:val="21"/>
          <w:szCs w:val="21"/>
          <w:highlight w:val="none"/>
          <w:u w:val="none"/>
          <w:lang w:val="en-US" w:eastAsia="zh-CN"/>
        </w:rPr>
      </w:pPr>
      <w:r>
        <w:rPr>
          <w:rFonts w:hint="eastAsia" w:ascii="宋体" w:hAnsi="宋体" w:eastAsia="宋体" w:cs="Times New Roman"/>
          <w:b w:val="0"/>
          <w:bCs w:val="0"/>
          <w:sz w:val="21"/>
          <w:szCs w:val="21"/>
          <w:highlight w:val="none"/>
          <w:u w:val="none"/>
          <w:lang w:val="en-US" w:eastAsia="zh-CN"/>
        </w:rPr>
        <w:t>履约担保期限：</w:t>
      </w:r>
      <w:r>
        <w:rPr>
          <w:rFonts w:hint="eastAsia" w:ascii="宋体" w:hAnsi="宋体" w:cs="Times New Roman"/>
          <w:b w:val="0"/>
          <w:bCs w:val="0"/>
          <w:sz w:val="21"/>
          <w:szCs w:val="21"/>
          <w:highlight w:val="none"/>
          <w:u w:val="single"/>
          <w:lang w:val="en-US" w:eastAsia="zh-CN"/>
        </w:rPr>
        <w:t>/</w:t>
      </w:r>
      <w:r>
        <w:rPr>
          <w:rFonts w:hint="eastAsia" w:ascii="宋体" w:hAnsi="宋体" w:eastAsia="宋体" w:cs="Times New Roman"/>
          <w:b w:val="0"/>
          <w:bCs w:val="0"/>
          <w:sz w:val="21"/>
          <w:szCs w:val="21"/>
          <w:highlight w:val="none"/>
          <w:u w:val="none"/>
          <w:lang w:val="en-US" w:eastAsia="zh-CN"/>
        </w:rPr>
        <w:t>。</w:t>
      </w:r>
    </w:p>
    <w:p w14:paraId="259EE393">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8.2</w:t>
      </w:r>
      <w:r>
        <w:rPr>
          <w:rFonts w:hint="eastAsia" w:ascii="宋体" w:hAnsi="宋体" w:eastAsia="宋体" w:cs="宋体"/>
          <w:kern w:val="2"/>
          <w:sz w:val="21"/>
          <w:szCs w:val="21"/>
          <w:lang w:val="en-US" w:eastAsia="zh-CN" w:bidi="ar-SA"/>
        </w:rPr>
        <w:t>按《中华人民共和国民法典》中的相关条款执行,乙方未按合同要求提供服务或服务质量不能满足本次采购要求，</w:t>
      </w:r>
      <w:r>
        <w:rPr>
          <w:rFonts w:hint="eastAsia" w:ascii="宋体" w:hAnsi="宋体" w:eastAsia="宋体" w:cs="宋体"/>
          <w:sz w:val="21"/>
          <w:szCs w:val="21"/>
          <w:lang w:val="en-US" w:eastAsia="zh-CN"/>
        </w:rPr>
        <w:t>甲方有权要求乙方限期整改,乙方无正当理由逾期未整改或拒绝整改,给甲方工作质量、进度、声誉造成影响，甲方有权无责终止合同，并要求乙方承担合同额</w:t>
      </w:r>
      <w:r>
        <w:rPr>
          <w:rFonts w:hint="eastAsia" w:ascii="宋体" w:hAnsi="宋体" w:eastAsia="宋体" w:cs="宋体"/>
          <w:b/>
          <w:bCs/>
          <w:sz w:val="21"/>
          <w:szCs w:val="21"/>
          <w:u w:val="single"/>
          <w:lang w:val="en-US" w:eastAsia="zh-CN"/>
        </w:rPr>
        <w:t>20%</w:t>
      </w:r>
      <w:r>
        <w:rPr>
          <w:rFonts w:hint="eastAsia" w:ascii="宋体" w:hAnsi="宋体" w:eastAsia="宋体" w:cs="宋体"/>
          <w:b w:val="0"/>
          <w:bCs w:val="0"/>
          <w:sz w:val="21"/>
          <w:szCs w:val="21"/>
          <w:u w:val="none"/>
          <w:lang w:val="en-US" w:eastAsia="zh-CN"/>
        </w:rPr>
        <w:t>的</w:t>
      </w:r>
      <w:r>
        <w:rPr>
          <w:rFonts w:hint="eastAsia" w:ascii="宋体" w:hAnsi="宋体" w:eastAsia="宋体" w:cs="宋体"/>
          <w:sz w:val="21"/>
          <w:szCs w:val="21"/>
          <w:lang w:val="en-US" w:eastAsia="zh-CN"/>
        </w:rPr>
        <w:t>违约金。</w:t>
      </w:r>
      <w:r>
        <w:rPr>
          <w:rFonts w:hint="eastAsia" w:ascii="宋体" w:hAnsi="宋体" w:eastAsia="宋体" w:cs="宋体"/>
          <w:kern w:val="2"/>
          <w:sz w:val="21"/>
          <w:szCs w:val="21"/>
          <w:lang w:val="en-US" w:eastAsia="zh-CN" w:bidi="ar-SA"/>
        </w:rPr>
        <w:t>同时按政府采购法的有关规定进行相应的处罚。</w:t>
      </w:r>
    </w:p>
    <w:p w14:paraId="6EF3EB80">
      <w:pPr>
        <w:pStyle w:val="7"/>
        <w:spacing w:line="360" w:lineRule="auto"/>
        <w:ind w:firstLine="55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8.3</w:t>
      </w:r>
      <w:r>
        <w:rPr>
          <w:rFonts w:hint="eastAsia" w:ascii="宋体" w:hAnsi="宋体" w:eastAsia="宋体" w:cs="Times New Roman"/>
          <w:sz w:val="21"/>
          <w:szCs w:val="21"/>
          <w:lang w:val="en-US" w:eastAsia="zh-CN"/>
        </w:rPr>
        <w:t>乙方</w:t>
      </w:r>
      <w:r>
        <w:rPr>
          <w:rFonts w:hint="eastAsia" w:ascii="宋体" w:hAnsi="宋体" w:eastAsia="宋体" w:cs="Times New Roman"/>
          <w:kern w:val="2"/>
          <w:sz w:val="21"/>
          <w:szCs w:val="21"/>
          <w:lang w:val="en-US" w:eastAsia="zh-CN" w:bidi="ar-SA"/>
        </w:rPr>
        <w:t>如未按上述合同约定履行自己的义务，造成的一切后果由甲方承担。</w:t>
      </w:r>
    </w:p>
    <w:p w14:paraId="12907EEE">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第九条 合同的变更、解除、终止</w:t>
      </w:r>
      <w:bookmarkEnd w:id="8"/>
    </w:p>
    <w:p w14:paraId="584DD52B">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9.1 订立本合同所依据的客观情况发生重大变化，致使本合同无法履行的，经甲乙双方协商一致，本合同可以无责任解除。</w:t>
      </w:r>
    </w:p>
    <w:p w14:paraId="539B068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9.2 服务期限内甲方由于政策调整和甲方客观原因导致需要终止合同的，应以书面的方式通知乙方，自乙方收到书面通知之日起本合同即无责终止。 </w:t>
      </w:r>
    </w:p>
    <w:p w14:paraId="168604A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9.3在合同履行过程中，因甲方服务需求增加时，经甲乙双方协商同意，可以签订补充协议。 </w:t>
      </w:r>
    </w:p>
    <w:p w14:paraId="72F0194C">
      <w:pPr>
        <w:spacing w:line="360" w:lineRule="auto"/>
        <w:ind w:firstLine="420" w:firstLineChars="200"/>
        <w:outlineLvl w:val="1"/>
        <w:rPr>
          <w:rFonts w:hint="eastAsia" w:ascii="宋体" w:hAnsi="宋体" w:eastAsia="宋体" w:cs="Times New Roman"/>
          <w:b/>
          <w:bCs/>
          <w:sz w:val="21"/>
          <w:szCs w:val="21"/>
          <w:lang w:val="en-US" w:eastAsia="zh-CN"/>
        </w:rPr>
      </w:pPr>
      <w:bookmarkStart w:id="9" w:name="_Toc18593"/>
      <w:r>
        <w:rPr>
          <w:rFonts w:hint="eastAsia" w:ascii="宋体" w:hAnsi="宋体" w:eastAsia="宋体" w:cs="Times New Roman"/>
          <w:b/>
          <w:bCs/>
          <w:sz w:val="21"/>
          <w:szCs w:val="21"/>
          <w:lang w:val="en-US" w:eastAsia="zh-CN"/>
        </w:rPr>
        <w:t>第十条 争议解决</w:t>
      </w:r>
      <w:bookmarkEnd w:id="9"/>
    </w:p>
    <w:p w14:paraId="4A021D04">
      <w:pPr>
        <w:spacing w:line="360" w:lineRule="auto"/>
        <w:ind w:firstLine="420" w:firstLineChars="200"/>
        <w:outlineLvl w:val="1"/>
        <w:rPr>
          <w:rFonts w:hint="eastAsia" w:ascii="宋体" w:hAnsi="宋体" w:eastAsia="宋体" w:cs="Times New Roman"/>
          <w:b w:val="0"/>
          <w:bCs w:val="0"/>
          <w:sz w:val="21"/>
          <w:szCs w:val="21"/>
          <w:lang w:val="en-US" w:eastAsia="zh-CN"/>
        </w:rPr>
      </w:pPr>
      <w:bookmarkStart w:id="10" w:name="_Toc29262"/>
      <w:r>
        <w:rPr>
          <w:rFonts w:hint="eastAsia" w:ascii="宋体" w:hAnsi="宋体" w:eastAsia="宋体" w:cs="Times New Roman"/>
          <w:b w:val="0"/>
          <w:bCs w:val="0"/>
          <w:sz w:val="21"/>
          <w:szCs w:val="21"/>
          <w:lang w:val="en-US" w:eastAsia="zh-CN"/>
        </w:rPr>
        <w:t>本合同在履行过程中发生的争议，由甲、乙双方当事人协商解决，协商不成的按下列第2种方式解决：1.提交西安仲裁委员会仲裁；2.依法向有管辖权的人民法院起诉。</w:t>
      </w:r>
    </w:p>
    <w:p w14:paraId="40A4C91E">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第十一条 其他</w:t>
      </w:r>
      <w:bookmarkEnd w:id="10"/>
    </w:p>
    <w:p w14:paraId="2019907E">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5ADB626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11.2本合同未尽事宜由甲乙双方协商解决，并可签订补充协议作为本合同的附件。</w:t>
      </w:r>
    </w:p>
    <w:p w14:paraId="4F70860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11.3甲乙双方有义务对本合同条款保密，以确保双方利益。</w:t>
      </w:r>
    </w:p>
    <w:p w14:paraId="4A8A63E7">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12.</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 xml:space="preserve">本合同履行过程中发送的通知、文件、资料以及法律文书，若无特殊约定，均以本合同中载明的地址为送达地址。本条款适用于司法文书送达。 </w:t>
      </w:r>
    </w:p>
    <w:p w14:paraId="4D05E9D8">
      <w:pPr>
        <w:pStyle w:val="12"/>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000000"/>
          <w:kern w:val="0"/>
          <w:sz w:val="21"/>
          <w:szCs w:val="21"/>
        </w:rPr>
      </w:pPr>
      <w:r>
        <w:rPr>
          <w:rFonts w:hint="eastAsia" w:ascii="宋体" w:hAnsi="宋体" w:eastAsia="宋体" w:cs="Times New Roman"/>
          <w:sz w:val="21"/>
          <w:szCs w:val="21"/>
          <w:lang w:val="en-US" w:eastAsia="zh-CN"/>
        </w:rPr>
        <w:t>12.</w:t>
      </w:r>
      <w:r>
        <w:rPr>
          <w:rFonts w:hint="eastAsia" w:cs="Times New Roman"/>
          <w:sz w:val="21"/>
          <w:szCs w:val="21"/>
          <w:lang w:val="en-US" w:eastAsia="zh-CN"/>
        </w:rPr>
        <w:t>5</w:t>
      </w:r>
      <w:r>
        <w:rPr>
          <w:rFonts w:hint="eastAsia" w:ascii="宋体" w:hAnsi="宋体" w:eastAsia="宋体" w:cs="Times New Roman"/>
          <w:sz w:val="21"/>
          <w:szCs w:val="21"/>
          <w:lang w:val="en-US" w:eastAsia="zh-CN"/>
        </w:rPr>
        <w:t>本合同自双方签字盖章之日起生效</w:t>
      </w:r>
      <w:r>
        <w:rPr>
          <w:rFonts w:hint="eastAsia" w:ascii="宋体" w:hAnsi="宋体" w:eastAsia="宋体" w:cs="宋体"/>
          <w:color w:val="000000"/>
          <w:spacing w:val="0"/>
          <w:w w:val="100"/>
          <w:position w:val="0"/>
          <w:sz w:val="21"/>
          <w:szCs w:val="21"/>
          <w:lang w:val="en-US" w:eastAsia="zh-CN"/>
        </w:rPr>
        <w:t>，合同一式</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份，其中甲方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份，乙方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w:t>
      </w:r>
    </w:p>
    <w:p w14:paraId="61DF7BEE">
      <w:pPr>
        <w:spacing w:line="360" w:lineRule="auto"/>
        <w:ind w:firstLine="420" w:firstLineChars="200"/>
      </w:pPr>
      <w:r>
        <w:rPr>
          <w:rFonts w:hint="eastAsia" w:ascii="宋体" w:hAnsi="宋体" w:eastAsia="宋体" w:cs="Times New Roman"/>
          <w:sz w:val="21"/>
          <w:szCs w:val="21"/>
          <w:lang w:val="en-US" w:eastAsia="zh-CN"/>
        </w:rPr>
        <w:t>（以下无正文）</w:t>
      </w:r>
    </w:p>
    <w:tbl>
      <w:tblPr>
        <w:tblStyle w:val="8"/>
        <w:tblpPr w:leftFromText="180" w:rightFromText="180" w:vertAnchor="text" w:horzAnchor="page" w:tblpX="1852" w:tblpY="831"/>
        <w:tblOverlap w:val="never"/>
        <w:tblW w:w="9286" w:type="dxa"/>
        <w:tblInd w:w="0" w:type="dxa"/>
        <w:tblLayout w:type="fixed"/>
        <w:tblCellMar>
          <w:top w:w="0" w:type="dxa"/>
          <w:left w:w="108" w:type="dxa"/>
          <w:bottom w:w="0" w:type="dxa"/>
          <w:right w:w="108" w:type="dxa"/>
        </w:tblCellMar>
      </w:tblPr>
      <w:tblGrid>
        <w:gridCol w:w="4643"/>
        <w:gridCol w:w="4643"/>
      </w:tblGrid>
      <w:tr w14:paraId="7DE8CFC3">
        <w:tblPrEx>
          <w:tblCellMar>
            <w:top w:w="0" w:type="dxa"/>
            <w:left w:w="108" w:type="dxa"/>
            <w:bottom w:w="0" w:type="dxa"/>
            <w:right w:w="108" w:type="dxa"/>
          </w:tblCellMar>
        </w:tblPrEx>
        <w:tc>
          <w:tcPr>
            <w:tcW w:w="4643" w:type="dxa"/>
            <w:noWrap w:val="0"/>
            <w:vAlign w:val="top"/>
          </w:tcPr>
          <w:p w14:paraId="3B2382B7">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甲方名称（盖章）:</w:t>
            </w:r>
          </w:p>
          <w:p w14:paraId="3717E452">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1897666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1421D35F">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492DB847">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6F902993">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c>
          <w:tcPr>
            <w:tcW w:w="4643" w:type="dxa"/>
            <w:noWrap w:val="0"/>
            <w:vAlign w:val="top"/>
          </w:tcPr>
          <w:p w14:paraId="3FCD5263">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乙方名称（盖章）:</w:t>
            </w:r>
          </w:p>
          <w:p w14:paraId="6A3640FD">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5F3B5B13">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226F5265">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76E24345">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52D7EA06">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r>
    </w:tbl>
    <w:p w14:paraId="47915DA8">
      <w:pPr>
        <w:pStyle w:val="13"/>
        <w:rPr>
          <w:rFonts w:hint="eastAsia" w:ascii="仿宋_GB2312" w:hAnsi="仿宋_GB2312" w:eastAsia="仿宋_GB2312" w:cs="仿宋_GB2312"/>
          <w:lang w:val="en-US" w:eastAsia="zh-Hans"/>
        </w:rPr>
      </w:pPr>
    </w:p>
    <w:p w14:paraId="2564EA2D">
      <w:pPr>
        <w:pStyle w:val="13"/>
        <w:rPr>
          <w:rFonts w:hint="eastAsia" w:ascii="仿宋_GB2312" w:hAnsi="仿宋_GB2312" w:eastAsia="仿宋_GB2312" w:cs="仿宋_GB2312"/>
          <w:lang w:val="en-US" w:eastAsia="zh-Hans"/>
        </w:rPr>
      </w:pPr>
    </w:p>
    <w:p w14:paraId="2155E693">
      <w:pPr>
        <w:pStyle w:val="13"/>
        <w:rPr>
          <w:rFonts w:hint="eastAsia" w:ascii="仿宋_GB2312" w:hAnsi="仿宋_GB2312" w:eastAsia="仿宋_GB2312" w:cs="仿宋_GB2312"/>
          <w:lang w:val="en-US" w:eastAsia="zh-Hans"/>
        </w:rPr>
      </w:pPr>
    </w:p>
    <w:p w14:paraId="34769C12">
      <w:pPr>
        <w:pStyle w:val="13"/>
        <w:rPr>
          <w:rFonts w:hint="eastAsia" w:ascii="仿宋_GB2312" w:hAnsi="仿宋_GB2312" w:eastAsia="仿宋_GB2312" w:cs="仿宋_GB2312"/>
          <w:lang w:val="en-US" w:eastAsia="zh-Hans"/>
        </w:rPr>
      </w:pPr>
    </w:p>
    <w:p w14:paraId="7FBC9927">
      <w:pPr>
        <w:pStyle w:val="13"/>
        <w:rPr>
          <w:rFonts w:hint="eastAsia" w:ascii="仿宋_GB2312" w:hAnsi="仿宋_GB2312" w:eastAsia="仿宋_GB2312" w:cs="仿宋_GB2312"/>
          <w:lang w:val="en-US" w:eastAsia="zh-Hans"/>
        </w:rPr>
      </w:pPr>
    </w:p>
    <w:p w14:paraId="1C64E626">
      <w:pPr>
        <w:pStyle w:val="13"/>
        <w:rPr>
          <w:rFonts w:hint="eastAsia" w:ascii="仿宋_GB2312" w:hAnsi="仿宋_GB2312" w:eastAsia="仿宋_GB2312" w:cs="仿宋_GB2312"/>
          <w:lang w:val="en-US" w:eastAsia="zh-Hans"/>
        </w:rPr>
      </w:pPr>
    </w:p>
    <w:p w14:paraId="6F7EB443">
      <w:pPr>
        <w:pStyle w:val="13"/>
        <w:rPr>
          <w:rFonts w:hint="eastAsia" w:ascii="仿宋_GB2312" w:hAnsi="仿宋_GB2312" w:eastAsia="仿宋_GB2312" w:cs="仿宋_GB2312"/>
          <w:lang w:val="en-US" w:eastAsia="zh-Hans"/>
        </w:rPr>
      </w:pPr>
    </w:p>
    <w:p w14:paraId="1C26F771">
      <w:pPr>
        <w:pStyle w:val="13"/>
        <w:rPr>
          <w:rFonts w:hint="eastAsia" w:ascii="仿宋_GB2312" w:hAnsi="仿宋_GB2312" w:eastAsia="仿宋_GB2312" w:cs="仿宋_GB2312"/>
          <w:lang w:val="en-US" w:eastAsia="zh-Hans"/>
        </w:rPr>
      </w:pPr>
    </w:p>
    <w:p w14:paraId="2D2974D2">
      <w:pPr>
        <w:pStyle w:val="13"/>
        <w:rPr>
          <w:rFonts w:hint="eastAsia" w:ascii="仿宋_GB2312" w:hAnsi="仿宋_GB2312" w:eastAsia="仿宋_GB2312" w:cs="仿宋_GB2312"/>
          <w:lang w:val="en-US" w:eastAsia="zh-Hans"/>
        </w:rPr>
      </w:pPr>
    </w:p>
    <w:p w14:paraId="3EC363F4">
      <w:pPr>
        <w:pStyle w:val="13"/>
        <w:rPr>
          <w:rFonts w:hint="eastAsia" w:ascii="仿宋_GB2312" w:hAnsi="仿宋_GB2312" w:eastAsia="仿宋_GB2312" w:cs="仿宋_GB2312"/>
          <w:lang w:val="en-US" w:eastAsia="zh-Hans"/>
        </w:rPr>
      </w:pPr>
    </w:p>
    <w:p w14:paraId="1A34694B">
      <w:pPr>
        <w:pStyle w:val="13"/>
        <w:rPr>
          <w:rFonts w:hint="eastAsia" w:ascii="仿宋_GB2312" w:hAnsi="仿宋_GB2312" w:eastAsia="仿宋_GB2312" w:cs="仿宋_GB2312"/>
          <w:lang w:val="en-US" w:eastAsia="zh-Hans"/>
        </w:rPr>
      </w:pPr>
    </w:p>
    <w:p w14:paraId="07A57030">
      <w:pPr>
        <w:pStyle w:val="13"/>
        <w:rPr>
          <w:rFonts w:hint="eastAsia" w:ascii="仿宋_GB2312" w:hAnsi="仿宋_GB2312" w:eastAsia="仿宋_GB2312" w:cs="仿宋_GB2312"/>
          <w:lang w:val="en-US" w:eastAsia="zh-Hans"/>
        </w:rPr>
      </w:pPr>
    </w:p>
    <w:p w14:paraId="4EF7EC18">
      <w:pPr>
        <w:pStyle w:val="13"/>
        <w:rPr>
          <w:rFonts w:hint="eastAsia" w:ascii="仿宋_GB2312" w:hAnsi="仿宋_GB2312" w:eastAsia="仿宋_GB2312" w:cs="仿宋_GB2312"/>
          <w:lang w:val="en-US" w:eastAsia="zh-Hans"/>
        </w:rPr>
      </w:pPr>
    </w:p>
    <w:p w14:paraId="0EFA2402">
      <w:pPr>
        <w:pStyle w:val="13"/>
        <w:rPr>
          <w:rFonts w:hint="eastAsia" w:ascii="仿宋_GB2312" w:hAnsi="仿宋_GB2312" w:eastAsia="仿宋_GB2312" w:cs="仿宋_GB2312"/>
          <w:lang w:val="en-US" w:eastAsia="zh-Hans"/>
        </w:rPr>
      </w:pPr>
    </w:p>
    <w:p w14:paraId="5A1A7E84">
      <w:pPr>
        <w:pStyle w:val="13"/>
        <w:rPr>
          <w:rFonts w:hint="eastAsia" w:ascii="仿宋_GB2312" w:hAnsi="仿宋_GB2312" w:eastAsia="仿宋_GB2312" w:cs="仿宋_GB2312"/>
          <w:lang w:val="en-US" w:eastAsia="zh-Hans"/>
        </w:rPr>
      </w:pPr>
    </w:p>
    <w:p w14:paraId="66A71D22">
      <w:pPr>
        <w:pStyle w:val="13"/>
        <w:rPr>
          <w:rFonts w:hint="eastAsia" w:ascii="仿宋_GB2312" w:hAnsi="仿宋_GB2312" w:eastAsia="仿宋_GB2312" w:cs="仿宋_GB2312"/>
          <w:lang w:val="en-US" w:eastAsia="zh-Hans"/>
        </w:rPr>
      </w:pPr>
    </w:p>
    <w:p w14:paraId="78674271">
      <w:pPr>
        <w:pStyle w:val="13"/>
        <w:rPr>
          <w:rFonts w:hint="eastAsia" w:ascii="仿宋_GB2312" w:hAnsi="仿宋_GB2312" w:eastAsia="仿宋_GB2312" w:cs="仿宋_GB2312"/>
          <w:lang w:val="en-US" w:eastAsia="zh-Hans"/>
        </w:rPr>
      </w:pPr>
      <w:bookmarkStart w:id="11" w:name="_GoBack"/>
      <w:bookmarkEnd w:id="11"/>
    </w:p>
    <w:p w14:paraId="376B72AB">
      <w:pPr>
        <w:pStyle w:val="13"/>
        <w:rPr>
          <w:rFonts w:hint="eastAsia" w:ascii="仿宋_GB2312" w:hAnsi="仿宋_GB2312" w:eastAsia="仿宋_GB2312" w:cs="仿宋_GB2312"/>
          <w:lang w:val="en-US" w:eastAsia="zh-Hans"/>
        </w:rPr>
      </w:pPr>
    </w:p>
    <w:p w14:paraId="6096A37E">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附件：考核要求</w:t>
      </w:r>
    </w:p>
    <w:p w14:paraId="007CCE65">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考核以月为考核周期，每月考核一次，以100分为标准，并根据评价分数纳入相应的等级。</w:t>
      </w:r>
    </w:p>
    <w:p w14:paraId="34291DA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价等级：</w:t>
      </w:r>
    </w:p>
    <w:p w14:paraId="44D46712">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1.考核成绩为96-100分，非常满意。甲方根据该月物业服务情况对存在问题进行口头提示；</w:t>
      </w:r>
    </w:p>
    <w:p w14:paraId="2D954062">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2.考核成绩为86-95分，为满意。甲方约谈物业项目经理，并将存在问题整改到位；</w:t>
      </w:r>
    </w:p>
    <w:p w14:paraId="17A5B7D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3.考核成绩为80-85分，为基本满意。甲方约谈物业项目经理，要求更换相关人员，并就存在问题下发整改通知书；</w:t>
      </w:r>
    </w:p>
    <w:p w14:paraId="34B930C1">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4.考核成绩在80分以下，为不满意。甲方约谈项目负责人和物业经理，要求更换相关人员，将存在问题下发整改通知书，并按实际违规情况扣除相应物业费；</w:t>
      </w:r>
    </w:p>
    <w:p w14:paraId="66AAA6CE">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5.全年累计2次考核成绩在80分以下，甲方要求更换物业项目经理，全年累计3次考核成绩在80分以下，合同期满后不续约；</w:t>
      </w:r>
    </w:p>
    <w:p w14:paraId="7B3F40C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6.甲方根据每月考核结果对乙方外派至甲方项目负责人（物业经理和保洁主管）进行绩效考核，绩效考核结果乙方予以配合实施。</w:t>
      </w:r>
    </w:p>
    <w:p w14:paraId="59A034ED">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7.物业服务过程中出现以下情况的，学校将立即终止合同，并追究物业相关责任：</w:t>
      </w:r>
    </w:p>
    <w:p w14:paraId="1CF94A0C">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（1）物业人员因个人原因发生重大安全事故给学校造成重大后果的; </w:t>
      </w:r>
    </w:p>
    <w:p w14:paraId="0E04A225">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（2）物业人员违规操作给学校造成重大损失的； </w:t>
      </w:r>
    </w:p>
    <w:p w14:paraId="1335274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（3）物业人员个人行为对学校造成重大负面影响的； </w:t>
      </w:r>
    </w:p>
    <w:p w14:paraId="19405994">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（4）弄虚作假欺骗学校、不按合同商定范围履行合同，经学校奉劝整改无效且情节严重的。</w:t>
      </w:r>
    </w:p>
    <w:p w14:paraId="51BF988F">
      <w:pPr>
        <w:pStyle w:val="13"/>
        <w:rPr>
          <w:rFonts w:hint="eastAsia" w:ascii="仿宋_GB2312" w:hAnsi="仿宋_GB2312" w:eastAsia="仿宋_GB2312" w:cs="仿宋_GB2312"/>
          <w:lang w:val="en-US" w:eastAsia="zh-Hans"/>
        </w:rPr>
      </w:pPr>
    </w:p>
    <w:p w14:paraId="1BE34AB1"/>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183"/>
    <w:multiLevelType w:val="singleLevel"/>
    <w:tmpl w:val="AA57018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2223D7D"/>
    <w:rsid w:val="06AB707D"/>
    <w:rsid w:val="17C835C9"/>
    <w:rsid w:val="1F5D08C4"/>
    <w:rsid w:val="25F152BF"/>
    <w:rsid w:val="30AF32A8"/>
    <w:rsid w:val="31E35202"/>
    <w:rsid w:val="34E47189"/>
    <w:rsid w:val="422C59F9"/>
    <w:rsid w:val="656A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qFormat/>
    <w:uiPriority w:val="0"/>
    <w:pPr>
      <w:keepNext/>
      <w:keepLines/>
      <w:spacing w:before="340" w:after="330" w:line="576" w:lineRule="auto"/>
    </w:pPr>
    <w:rPr>
      <w:rFonts w:ascii="Times New Roman" w:hAnsi="Times New Roman"/>
      <w:kern w:val="44"/>
      <w:sz w:val="36"/>
    </w:rPr>
  </w:style>
  <w:style w:type="paragraph" w:styleId="4">
    <w:name w:val="heading 4"/>
    <w:basedOn w:val="1"/>
    <w:next w:val="1"/>
    <w:unhideWhenUsed/>
    <w:qFormat/>
    <w:uiPriority w:val="9"/>
    <w:pPr>
      <w:keepNext/>
      <w:keepLines/>
      <w:spacing w:before="200" w:after="0"/>
      <w:outlineLvl w:val="3"/>
    </w:pPr>
    <w:rPr>
      <w:rFonts w:ascii="Calibri" w:hAnsi="Calibri" w:eastAsia="MS Gothic" w:cs="Times New Roman"/>
      <w:b/>
      <w:bCs/>
      <w:i/>
      <w:iCs/>
      <w:color w:val="4F81BD"/>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5">
    <w:name w:val="Body Text"/>
    <w:basedOn w:val="1"/>
    <w:next w:val="1"/>
    <w:qFormat/>
    <w:uiPriority w:val="0"/>
    <w:pPr>
      <w:spacing w:after="120"/>
    </w:pPr>
    <w:rPr>
      <w:kern w:val="0"/>
      <w:sz w:val="20"/>
    </w:rPr>
  </w:style>
  <w:style w:type="paragraph" w:styleId="6">
    <w:name w:val="Body Text Indent"/>
    <w:basedOn w:val="1"/>
    <w:qFormat/>
    <w:uiPriority w:val="0"/>
    <w:pPr>
      <w:widowControl/>
      <w:ind w:firstLine="652" w:firstLineChars="233"/>
    </w:pPr>
    <w:rPr>
      <w:kern w:val="0"/>
      <w:sz w:val="28"/>
    </w:rPr>
  </w:style>
  <w:style w:type="paragraph" w:styleId="7">
    <w:name w:val="Body Text First Indent 2"/>
    <w:basedOn w:val="6"/>
    <w:qFormat/>
    <w:uiPriority w:val="0"/>
    <w:pPr>
      <w:ind w:firstLine="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2">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2498</Words>
  <Characters>2638</Characters>
  <Lines>0</Lines>
  <Paragraphs>0</Paragraphs>
  <TotalTime>0</TotalTime>
  <ScaleCrop>false</ScaleCrop>
  <LinksUpToDate>false</LinksUpToDate>
  <CharactersWithSpaces>3130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2025-08-20T06:47:54Z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eyJoZGlkIjoiZjk2ODgzNWMwYzFhNTg2ZjliNWNlOTYxNTE0MDFmYmUiLCJ1c2VySWQiOiIzMDYwNzg5NjUifQ==</vt:lpwstr>
  </property>
</Properties>
</file>