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版本号：ZDCG2025081903-CGZC202514320250901001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西安市公安局交管支队浐灞国际港大队执勤二中队办公用房租赁服务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ZDCG2025081903-CGZC2025143</w:t>
      </w:r>
      <w:r>
        <w:br/>
      </w:r>
      <w:r>
        <w:br/>
      </w:r>
      <w:r>
        <w:br/>
      </w:r>
    </w:p>
    <w:p>
      <w:pPr>
        <w:pStyle w:val="null3"/>
        <w:jc w:val="center"/>
        <w:outlineLvl w:val="5"/>
      </w:pPr>
      <w:r>
        <w:rPr>
          <w:rFonts w:ascii="仿宋_GB2312" w:hAnsi="仿宋_GB2312" w:cs="仿宋_GB2312" w:eastAsia="仿宋_GB2312"/>
          <w:sz w:val="15"/>
          <w:b/>
        </w:rPr>
        <w:t>西安浐灞国际港城市管理和综合执法局</w:t>
      </w:r>
    </w:p>
    <w:p>
      <w:pPr>
        <w:pStyle w:val="null3"/>
        <w:jc w:val="center"/>
        <w:outlineLvl w:val="5"/>
      </w:pPr>
      <w:r>
        <w:rPr>
          <w:rFonts w:ascii="仿宋_GB2312" w:hAnsi="仿宋_GB2312" w:cs="仿宋_GB2312" w:eastAsia="仿宋_GB2312"/>
          <w:sz w:val="15"/>
          <w:b/>
        </w:rPr>
        <w:t>正大鹏安建设项目管理有限公司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正大鹏安建设项目管理有限公司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西安浐灞国际港城市管理和综合执法局</w:t>
      </w:r>
      <w:r>
        <w:rPr>
          <w:rFonts w:ascii="仿宋_GB2312" w:hAnsi="仿宋_GB2312" w:cs="仿宋_GB2312" w:eastAsia="仿宋_GB2312"/>
        </w:rPr>
        <w:t>委托，拟对</w:t>
      </w:r>
      <w:r>
        <w:rPr>
          <w:rFonts w:ascii="仿宋_GB2312" w:hAnsi="仿宋_GB2312" w:cs="仿宋_GB2312" w:eastAsia="仿宋_GB2312"/>
        </w:rPr>
        <w:t>西安市公安局交管支队浐灞国际港大队执勤二中队办公用房租赁服务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ZDCG2025081903-CGZC2025143</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西安市公安局交管支队浐灞国际港大队执勤二中队办公用房租赁服务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浐灞国际港城市管理和综合执法局与西安京颐置业有限公司签订的办公用房租赁合同已到期，现需续签三年租赁合同，以保证采购人办公业务的正常开展，地点为总部产业园颐和庭小区沿欧亚六路商业用房1-3层，租赁铺位号:B9B10#10110、B9B10#10111、B9B10#10204、B9B10#10205、B9B10#10304、B9B10#10305，面积为2343平方米。具体内容详见采购文件。</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财务状况报告：提供供应商2024年度经审计的财务报告，或在投标截止日期前6个月内其基本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3、税收缴纳证明：提供供应商自投标截止日期前6个月以来已缴纳任意时段纳税证明或税务机关开具的完税证明（增值税、营业税、企业所得税至少提供一种）；依法免税的应提供相关文件证明</w:t>
      </w:r>
    </w:p>
    <w:p>
      <w:pPr>
        <w:pStyle w:val="null3"/>
      </w:pPr>
      <w:r>
        <w:rPr>
          <w:rFonts w:ascii="仿宋_GB2312" w:hAnsi="仿宋_GB2312" w:cs="仿宋_GB2312" w:eastAsia="仿宋_GB2312"/>
        </w:rPr>
        <w:t>4、社会保障资金缴纳证明：提供供应商自投标截止日期前6个月以来已缴存的任意时段的社会保障资金缴存单据或社保机构开具的社会保险参保缴费情况证明；依法不需要缴纳社会保障资金的应提供相关文件证明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5、无重大违法记录声明：参加本次政府采购活动前3年内，在经营活动中没有重大违法记录的书面声明</w:t>
      </w:r>
    </w:p>
    <w:p>
      <w:pPr>
        <w:pStyle w:val="null3"/>
      </w:pPr>
      <w:r>
        <w:rPr>
          <w:rFonts w:ascii="仿宋_GB2312" w:hAnsi="仿宋_GB2312" w:cs="仿宋_GB2312" w:eastAsia="仿宋_GB2312"/>
        </w:rPr>
        <w:t>6、专业技术能力证明：具备履行合同所必需的设备和专业技术能力</w:t>
      </w:r>
    </w:p>
    <w:p>
      <w:pPr>
        <w:pStyle w:val="null3"/>
      </w:pPr>
      <w:r>
        <w:rPr>
          <w:rFonts w:ascii="仿宋_GB2312" w:hAnsi="仿宋_GB2312" w:cs="仿宋_GB2312" w:eastAsia="仿宋_GB2312"/>
        </w:rPr>
        <w:t>7、信用查询：供应商不得为列入信用中国(www.creditchina.gov.cn)记录失信被执行人、重大税收违法案件当事人名单、中国政府采购网(www.ccgp.gov.cn)的政府采购严重违法失信行为记录名单</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西安浐灞国际港城市管理和综合执法局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王立斌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029-83450819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正大鹏安建设项目管理有限公司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西安市新城区长乐中路38号金花新都汇A座12层1201室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李工、马咄、魏雪妮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18092530165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采购包1：4,554,800.00元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采购包1：4,554,800.00元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代理服务费收费标准：1、交费金额参照《招标代理服务收费管理暂行办法》（计价格【2002】1980号）及发改办价格【2003】857号中的规定计取。 2、成交人在取得成交通知书时，向采购代理机构缴付成交服务费。 3、服务费以转账或现金形式交纳，服务费缴纳帐号如下： 开户名称：正大鹏安建设项目管理有限公司 开户银行：陕西秦农农村商业银行股份有限公司新城支行 账 号：2701131601201000028739 行 号：314791001279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西安浐灞国际港城市管理和综合执法局</w:t>
      </w:r>
      <w:r>
        <w:rPr>
          <w:rFonts w:ascii="仿宋_GB2312" w:hAnsi="仿宋_GB2312" w:cs="仿宋_GB2312" w:eastAsia="仿宋_GB2312"/>
        </w:rPr>
        <w:t>和</w:t>
      </w:r>
      <w:r>
        <w:rPr>
          <w:rFonts w:ascii="仿宋_GB2312" w:hAnsi="仿宋_GB2312" w:cs="仿宋_GB2312" w:eastAsia="仿宋_GB2312"/>
        </w:rPr>
        <w:t>正大鹏安建设项目管理有限公司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正大鹏安建设项目管理有限公司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西安浐灞国际港城市管理和综合执法局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正大鹏安建设项目管理有限公司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浐灞国际港城市管理和综合执法局与西安京颐置业有限公司签订的办公用房租赁合同已到期，现需续签三年租赁合同，以保证采购人办公业务的正常开展，地点为总部产业园颐和庭小区沿欧亚六路商业用房1-3层，租赁铺位号:B9B10#10110、B9B10#10111、B9B10#10204、B9B10#10205、B9B10#10304、B9B10#10305，面积为2343平方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4,554,800.00</w:t>
      </w:r>
    </w:p>
    <w:p>
      <w:pPr>
        <w:pStyle w:val="null3"/>
      </w:pPr>
      <w:r>
        <w:rPr>
          <w:rFonts w:ascii="仿宋_GB2312" w:hAnsi="仿宋_GB2312" w:cs="仿宋_GB2312" w:eastAsia="仿宋_GB2312"/>
        </w:rPr>
        <w:t>采购包最高限价（元）: 4,554,800.00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西安市公安局交管支队浐灞国际港大队执勤二中队办公用房租赁服务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4,554,800.00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标的名称：西安市公安局交管支队浐灞国际港大队执勤二中队办公用房租赁服务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一、项目概况</w:t>
            </w:r>
          </w:p>
          <w:p>
            <w:pPr>
              <w:pStyle w:val="null3"/>
              <w:ind w:firstLine="420"/>
            </w:pPr>
            <w:r>
              <w:rPr>
                <w:rFonts w:ascii="仿宋_GB2312" w:hAnsi="仿宋_GB2312" w:cs="仿宋_GB2312" w:eastAsia="仿宋_GB2312"/>
                <w:sz w:val="21"/>
              </w:rPr>
              <w:t>西安浐灞国际港城市管理和综合执法局与西安京颐置业有限公司签订的办公用房租赁合同已到期，现需续签三年租赁合同，以保证采购人办公业务的正常开展。</w:t>
            </w:r>
          </w:p>
          <w:p>
            <w:pPr>
              <w:pStyle w:val="null3"/>
            </w:pPr>
            <w:r>
              <w:rPr>
                <w:rFonts w:ascii="仿宋_GB2312" w:hAnsi="仿宋_GB2312" w:cs="仿宋_GB2312" w:eastAsia="仿宋_GB2312"/>
                <w:sz w:val="21"/>
              </w:rPr>
              <w:t>二、服务内容</w:t>
            </w:r>
          </w:p>
          <w:p>
            <w:pPr>
              <w:pStyle w:val="null3"/>
            </w:pPr>
            <w:r>
              <w:rPr>
                <w:rFonts w:ascii="仿宋_GB2312" w:hAnsi="仿宋_GB2312" w:cs="仿宋_GB2312" w:eastAsia="仿宋_GB2312"/>
                <w:sz w:val="21"/>
              </w:rPr>
              <w:t>(1)租赁期限:三年。</w:t>
            </w:r>
          </w:p>
          <w:p>
            <w:pPr>
              <w:pStyle w:val="null3"/>
            </w:pPr>
            <w:r>
              <w:rPr>
                <w:rFonts w:ascii="仿宋_GB2312" w:hAnsi="仿宋_GB2312" w:cs="仿宋_GB2312" w:eastAsia="仿宋_GB2312"/>
                <w:sz w:val="21"/>
              </w:rPr>
              <w:t>(2)租赁地址:总部产业园颐和庭小区沿欧亚六路商业用房1-3层，租赁铺位号:B9B10#10110、B9B10#10111、B9B10#10204、B9B10#10205、B9B10#10304、B9B10#10305，面积为2343平方米。</w:t>
            </w:r>
          </w:p>
          <w:p>
            <w:pPr>
              <w:pStyle w:val="null3"/>
            </w:pPr>
            <w:r>
              <w:rPr>
                <w:rFonts w:ascii="仿宋_GB2312" w:hAnsi="仿宋_GB2312" w:cs="仿宋_GB2312" w:eastAsia="仿宋_GB2312"/>
                <w:sz w:val="21"/>
              </w:rPr>
              <w:t>三、服务要求</w:t>
            </w:r>
          </w:p>
          <w:p>
            <w:pPr>
              <w:pStyle w:val="null3"/>
            </w:pPr>
            <w:r>
              <w:rPr>
                <w:rFonts w:ascii="仿宋_GB2312" w:hAnsi="仿宋_GB2312" w:cs="仿宋_GB2312" w:eastAsia="仿宋_GB2312"/>
                <w:sz w:val="21"/>
              </w:rPr>
              <w:t>（</w:t>
            </w:r>
            <w:r>
              <w:rPr>
                <w:rFonts w:ascii="仿宋_GB2312" w:hAnsi="仿宋_GB2312" w:cs="仿宋_GB2312" w:eastAsia="仿宋_GB2312"/>
                <w:sz w:val="21"/>
              </w:rPr>
              <w:t>1）供应商保证出租的场地及附属设施属于其合法所有，无产权纠纷、争议，不存在任何所有权、使用权争议，更不存在以该租赁物非法集资、借贷等情形。租赁期内发生产权纠纷、债权债务等问题的，由供应商负责处理，不得影响采购人的正常使用若给采购人造成损失(包括实际损失、可期待利益、误工损失及律师费)，应承担全部赔偿责任;</w:t>
            </w:r>
          </w:p>
          <w:p>
            <w:pPr>
              <w:pStyle w:val="null3"/>
            </w:pPr>
            <w:r>
              <w:rPr>
                <w:rFonts w:ascii="仿宋_GB2312" w:hAnsi="仿宋_GB2312" w:cs="仿宋_GB2312" w:eastAsia="仿宋_GB2312"/>
                <w:sz w:val="21"/>
              </w:rPr>
              <w:t>（</w:t>
            </w:r>
            <w:r>
              <w:rPr>
                <w:rFonts w:ascii="仿宋_GB2312" w:hAnsi="仿宋_GB2312" w:cs="仿宋_GB2312" w:eastAsia="仿宋_GB2312"/>
                <w:sz w:val="21"/>
              </w:rPr>
              <w:t>2）供应商在合同期内应负责采购人租赁场所维修(包括墙，顶，屋面防水，上下水管道，地面，污水管道清理及附属设施的维修，以及易损件门窗，锁具，五金水暖，灯光照明等的更换)，保证水电配套正常使用(因维修产生的一切耗材、人工等费用由供应商负责承担)。如因该等事由影响采购人使用，采购人扣除相应的租金，并有权要求供应商赔偿损失(包括实际损失、可期待利益及律师费);</w:t>
            </w:r>
          </w:p>
          <w:p>
            <w:pPr>
              <w:pStyle w:val="null3"/>
            </w:pPr>
            <w:r>
              <w:rPr>
                <w:rFonts w:ascii="仿宋_GB2312" w:hAnsi="仿宋_GB2312" w:cs="仿宋_GB2312" w:eastAsia="仿宋_GB2312"/>
                <w:sz w:val="21"/>
              </w:rPr>
              <w:t>（</w:t>
            </w:r>
            <w:r>
              <w:rPr>
                <w:rFonts w:ascii="仿宋_GB2312" w:hAnsi="仿宋_GB2312" w:cs="仿宋_GB2312" w:eastAsia="仿宋_GB2312"/>
                <w:sz w:val="21"/>
              </w:rPr>
              <w:t>3）出租场地因自然条件、地质灾害等不可抗拒的、非采购人因素造成的损坏，采购人不承担赔偿责任;</w:t>
            </w:r>
          </w:p>
          <w:p>
            <w:pPr>
              <w:pStyle w:val="null3"/>
            </w:pPr>
            <w:r>
              <w:rPr>
                <w:rFonts w:ascii="仿宋_GB2312" w:hAnsi="仿宋_GB2312" w:cs="仿宋_GB2312" w:eastAsia="仿宋_GB2312"/>
                <w:sz w:val="21"/>
              </w:rPr>
              <w:t>(4)供应商保证在租赁期内不得向第三人出售或再次出租租赁场地及附属设施，保证采购人完整占有使用租赁场地。</w:t>
            </w:r>
          </w:p>
          <w:p>
            <w:pPr>
              <w:pStyle w:val="null3"/>
            </w:pPr>
            <w:r>
              <w:rPr>
                <w:rFonts w:ascii="仿宋_GB2312" w:hAnsi="仿宋_GB2312" w:cs="仿宋_GB2312" w:eastAsia="仿宋_GB2312"/>
                <w:sz w:val="21"/>
              </w:rPr>
              <w:t>四、商务要求</w:t>
            </w:r>
          </w:p>
          <w:p>
            <w:pPr>
              <w:pStyle w:val="null3"/>
            </w:pPr>
            <w:r>
              <w:rPr>
                <w:rFonts w:ascii="仿宋_GB2312" w:hAnsi="仿宋_GB2312" w:cs="仿宋_GB2312" w:eastAsia="仿宋_GB2312"/>
                <w:sz w:val="21"/>
              </w:rPr>
              <w:t>款项结算</w:t>
            </w:r>
            <w:r>
              <w:rPr>
                <w:rFonts w:ascii="仿宋_GB2312" w:hAnsi="仿宋_GB2312" w:cs="仿宋_GB2312" w:eastAsia="仿宋_GB2312"/>
                <w:sz w:val="21"/>
              </w:rPr>
              <w:t>:合同签订后，每半年支付一次房租，采购人于每半年的第一个月内向供应商支付半年的租金，供应商按采购人要求提供发票。</w:t>
            </w:r>
          </w:p>
          <w:p>
            <w:pPr>
              <w:pStyle w:val="null3"/>
            </w:pPr>
            <w:r>
              <w:rPr>
                <w:rFonts w:ascii="仿宋_GB2312" w:hAnsi="仿宋_GB2312" w:cs="仿宋_GB2312" w:eastAsia="仿宋_GB2312"/>
                <w:sz w:val="21"/>
              </w:rPr>
              <w:t>五、其他</w:t>
            </w:r>
          </w:p>
          <w:p>
            <w:pPr>
              <w:pStyle w:val="null3"/>
            </w:pPr>
            <w:r>
              <w:rPr>
                <w:rFonts w:ascii="仿宋_GB2312" w:hAnsi="仿宋_GB2312" w:cs="仿宋_GB2312" w:eastAsia="仿宋_GB2312"/>
                <w:sz w:val="21"/>
              </w:rPr>
              <w:t>违约责任</w:t>
            </w:r>
            <w:r>
              <w:rPr>
                <w:rFonts w:ascii="仿宋_GB2312" w:hAnsi="仿宋_GB2312" w:cs="仿宋_GB2312" w:eastAsia="仿宋_GB2312"/>
                <w:sz w:val="21"/>
              </w:rPr>
              <w:t>:供应商及采购人必须遵守合同并执行合同中的各项规定，保证合同的正常履行。双方任何一方违反合同之约定，应当承担违约责任。</w:t>
            </w:r>
          </w:p>
          <w:p>
            <w:pPr>
              <w:pStyle w:val="null3"/>
            </w:pPr>
            <w:r>
              <w:rPr>
                <w:rFonts w:ascii="仿宋_GB2312" w:hAnsi="仿宋_GB2312" w:cs="仿宋_GB2312" w:eastAsia="仿宋_GB2312"/>
                <w:sz w:val="21"/>
              </w:rPr>
              <w:t>六、采购项目所属行业</w:t>
            </w:r>
          </w:p>
          <w:p>
            <w:pPr>
              <w:pStyle w:val="null3"/>
            </w:pPr>
            <w:r>
              <w:rPr>
                <w:rFonts w:ascii="仿宋_GB2312" w:hAnsi="仿宋_GB2312" w:cs="仿宋_GB2312" w:eastAsia="仿宋_GB2312"/>
                <w:sz w:val="21"/>
              </w:rPr>
              <w:t>采购标的对应的中小企业划分标准所属行业为</w:t>
            </w:r>
            <w:r>
              <w:rPr>
                <w:rFonts w:ascii="仿宋_GB2312" w:hAnsi="仿宋_GB2312" w:cs="仿宋_GB2312" w:eastAsia="仿宋_GB2312"/>
                <w:sz w:val="21"/>
                <w:b/>
              </w:rPr>
              <w:t>租赁和商务服务业。</w:t>
            </w: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从业人员</w:t>
            </w:r>
            <w:r>
              <w:rPr>
                <w:rFonts w:ascii="仿宋_GB2312" w:hAnsi="仿宋_GB2312" w:cs="仿宋_GB2312" w:eastAsia="仿宋_GB2312"/>
                <w:sz w:val="21"/>
              </w:rPr>
              <w:t>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满需采购人及项目需求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总部产业园颐和庭小区沿欧亚六路</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按年度付款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按年度付款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两份、电子版壹份（U盘壹份）。若电子投标文件与纸质投标文件不一致的，以纸质投标文件为准；若正本和副本不符，以正本为准。 2、 供应商务必在开标截止时间30分钟前，通过项目电子化交易系统进行签到，如未进行签到，产生的一切后果由供应商自行承担。 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提供供应商2024年度经审计的财务报告，或在投标截止日期前6个月内其基本开户银行出具的资信证明，或财政部门认可的政府采购专业担保机构出具的投标担保函（以上三种形式的资料提供任何一种即可）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提供供应商自投标截止日期前6个月以来已缴纳任意时段纳税证明或税务机关开具的完税证明（增值税、营业税、企业所得税至少提供一种）；依法免税的应提供相关文件证明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提供供应商自投标截止日期前6个月以来已缴存的任意时段的社会保障资金缴存单据或社保机构开具的社会保险参保缴费情况证明；依法不需要缴纳社会保障资金的应提供相关文件证明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具备履行合同所必需的设备和专业技术能力</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供应商不得为列入信用中国(www.creditchina.gov.cn)记录失信被执行人、重大税收违法案件当事人名单、中国政府采购网(www.ccgp.gov.cn)的政府采购严重违法失信行为记录名单</w:t>
            </w:r>
          </w:p>
        </w:tc>
        <w:tc>
          <w:tcPr>
            <w:tcW w:type="dxa" w:w="1661"/>
          </w:tcPr>
          <w:p>
            <w:pPr>
              <w:pStyle w:val="null3"/>
            </w:pPr>
            <w:r>
              <w:rPr>
                <w:rFonts w:ascii="仿宋_GB2312" w:hAnsi="仿宋_GB2312" w:cs="仿宋_GB2312" w:eastAsia="仿宋_GB2312"/>
              </w:rPr>
              <w:t>供应商应提交的相关资格证明材料 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谈判总价</w:t>
            </w:r>
          </w:p>
        </w:tc>
        <w:tc>
          <w:tcPr>
            <w:tcW w:type="dxa" w:w="3322"/>
          </w:tcPr>
          <w:p>
            <w:pPr>
              <w:pStyle w:val="null3"/>
            </w:pPr>
            <w:r>
              <w:rPr>
                <w:rFonts w:ascii="仿宋_GB2312" w:hAnsi="仿宋_GB2312" w:cs="仿宋_GB2312" w:eastAsia="仿宋_GB2312"/>
              </w:rPr>
              <w:t>谈判总价不得超过采购预算</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谈判有效期符合采购文件的要求：投标截止之日起90日历天</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文件的签署、盖章。</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资格证明文件.docx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