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版本号：CGZC-2025-07220250819001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违法建设拆除工程项目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CGZC-2025-072</w:t>
      </w:r>
      <w:r>
        <w:br/>
      </w:r>
      <w:r>
        <w:br/>
      </w:r>
      <w:r>
        <w:br/>
      </w:r>
    </w:p>
    <w:p>
      <w:pPr>
        <w:pStyle w:val="null3"/>
        <w:jc w:val="center"/>
        <w:outlineLvl w:val="2"/>
      </w:pPr>
      <w:r>
        <w:rPr>
          <w:rFonts w:ascii="仿宋_GB2312" w:hAnsi="仿宋_GB2312" w:cs="仿宋_GB2312" w:eastAsia="仿宋_GB2312"/>
          <w:sz w:val="28"/>
          <w:b/>
        </w:rPr>
        <w:t>西安浐灞国际港城市管理和综合执法局</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西安浐灞国际港城市管理和综合执法局</w:t>
      </w:r>
      <w:r>
        <w:rPr>
          <w:rFonts w:ascii="仿宋_GB2312" w:hAnsi="仿宋_GB2312" w:cs="仿宋_GB2312" w:eastAsia="仿宋_GB2312"/>
        </w:rPr>
        <w:t>委托，拟对</w:t>
      </w:r>
      <w:r>
        <w:rPr>
          <w:rFonts w:ascii="仿宋_GB2312" w:hAnsi="仿宋_GB2312" w:cs="仿宋_GB2312" w:eastAsia="仿宋_GB2312"/>
        </w:rPr>
        <w:t>违法建设拆除工程项目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CGZC-2025-072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违法建设拆除工程项目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西安浐灞国际港城市管理和综合执法局违法建设拆除工程项目，具体内容详见第三章。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采购包1（违法建设拆除工程项目）：属于专门面向中小企业采购。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2、基本资格条件：符合《中华人民共和国政府采购法》第二十二条的规定；</w:t>
      </w:r>
    </w:p>
    <w:p>
      <w:pPr>
        <w:pStyle w:val="null3"/>
      </w:pPr>
      <w:r>
        <w:rPr>
          <w:rFonts w:ascii="仿宋_GB2312" w:hAnsi="仿宋_GB2312" w:cs="仿宋_GB2312" w:eastAsia="仿宋_GB2312"/>
        </w:rPr>
        <w:t>3、法定代表人委托授权书\身份证明：供应商应授权合法的人员参加磋商全过程，其中法定代表人直接参加磋商的，须出具法 定代表人身份证，并与营业执照上信息一致。法定代表人授权代表参加磋商的，须出具法定代表人授权书及授权代表身份证，授权代表须提供近六个月中任一个月缴纳社保证明复印件并加盖单位公章；</w:t>
      </w:r>
    </w:p>
    <w:p>
      <w:pPr>
        <w:pStyle w:val="null3"/>
      </w:pPr>
      <w:r>
        <w:rPr>
          <w:rFonts w:ascii="仿宋_GB2312" w:hAnsi="仿宋_GB2312" w:cs="仿宋_GB2312" w:eastAsia="仿宋_GB2312"/>
        </w:rPr>
        <w:t>4、关联关系：单位负责人为同一人或者存在直接控股、管理关系的不同供应商，不得参加同一合同项下的政府采购活动。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5、资质要求：供应商须具备建设行政主管部门颁发的建筑工程施工总承包三级及以上（含三级）资质（或调整后的同等级资质），并具有有效的安全生产许可证；</w:t>
      </w:r>
    </w:p>
    <w:p>
      <w:pPr>
        <w:pStyle w:val="null3"/>
      </w:pPr>
      <w:r>
        <w:rPr>
          <w:rFonts w:ascii="仿宋_GB2312" w:hAnsi="仿宋_GB2312" w:cs="仿宋_GB2312" w:eastAsia="仿宋_GB2312"/>
        </w:rPr>
        <w:t>6、项目负责人：拟派项目负责人须具有建筑工程专业二级及以上（含二级）注册建造师资格证书及具备有效的安全生产考核证书B证，在本单位注册且无在建项目；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西安市灞桥区新筑街道港务大道89号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029-83450819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柴静、张佳音、种梦妮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029-82665555转8003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代理服务费收费标准：按照国家计委颁布的《招标代理服务收费管理暂行办法》（计价格『2002』1980号）及发改办价格『2003』857号文规定按工程类收取代理服务费。 银行户名：华晟国际项目管理有限公司 开户银行：建设银行西安劳动路支行 账 号：610501 740015 00000 427 转账事由：CGZC-2025-072项目代理服务费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西安浐灞国际港城市管理和综合执法局</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西安浐灞国际港城市管理和综合执法局</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联系人：柴静、张佳音、种梦妮</w:t>
      </w:r>
    </w:p>
    <w:p>
      <w:pPr>
        <w:pStyle w:val="null3"/>
      </w:pPr>
      <w:r>
        <w:rPr>
          <w:rFonts w:ascii="仿宋_GB2312" w:hAnsi="仿宋_GB2312" w:cs="仿宋_GB2312" w:eastAsia="仿宋_GB2312"/>
        </w:rPr>
        <w:t>联系电话：029-82665555转8003</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违法建设拆除工程项目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标的名称：违法建设拆除工程项目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一、项目概况</w:t>
            </w:r>
          </w:p>
          <w:p>
            <w:pPr>
              <w:pStyle w:val="null3"/>
              <w:ind w:firstLine="480"/>
              <w:jc w:val="both"/>
            </w:pPr>
            <w:r>
              <w:rPr>
                <w:rFonts w:ascii="仿宋_GB2312" w:hAnsi="仿宋_GB2312" w:cs="仿宋_GB2312" w:eastAsia="仿宋_GB2312"/>
                <w:sz w:val="24"/>
                <w:color w:val="000000"/>
              </w:rPr>
              <w:t>西安浐灞国际港区域违法建设拆除项目</w:t>
            </w:r>
            <w:r>
              <w:rPr>
                <w:rFonts w:ascii="仿宋_GB2312" w:hAnsi="仿宋_GB2312" w:cs="仿宋_GB2312" w:eastAsia="仿宋_GB2312"/>
                <w:sz w:val="24"/>
                <w:color w:val="000000"/>
              </w:rPr>
              <w:t>：对</w:t>
            </w:r>
            <w:r>
              <w:rPr>
                <w:rFonts w:ascii="仿宋_GB2312" w:hAnsi="仿宋_GB2312" w:cs="仿宋_GB2312" w:eastAsia="仿宋_GB2312"/>
                <w:sz w:val="24"/>
                <w:color w:val="000000"/>
              </w:rPr>
              <w:t>区内经资源规划部门认定的</w:t>
            </w:r>
            <w:r>
              <w:rPr>
                <w:rFonts w:ascii="仿宋_GB2312" w:hAnsi="仿宋_GB2312" w:cs="仿宋_GB2312" w:eastAsia="仿宋_GB2312"/>
                <w:sz w:val="24"/>
                <w:color w:val="000000"/>
              </w:rPr>
              <w:t>高空、地面、厂房</w:t>
            </w:r>
            <w:r>
              <w:rPr>
                <w:rFonts w:ascii="仿宋_GB2312" w:hAnsi="仿宋_GB2312" w:cs="仿宋_GB2312" w:eastAsia="仿宋_GB2312"/>
                <w:sz w:val="24"/>
                <w:color w:val="000000"/>
              </w:rPr>
              <w:t>违法建设等</w:t>
            </w:r>
            <w:r>
              <w:rPr>
                <w:rFonts w:ascii="仿宋_GB2312" w:hAnsi="仿宋_GB2312" w:cs="仿宋_GB2312" w:eastAsia="仿宋_GB2312"/>
                <w:sz w:val="24"/>
                <w:color w:val="000000"/>
              </w:rPr>
              <w:t>拆除；对违法户外广告实施拆除。</w:t>
            </w:r>
          </w:p>
          <w:p>
            <w:pPr>
              <w:pStyle w:val="null3"/>
              <w:jc w:val="left"/>
            </w:pPr>
            <w:r>
              <w:rPr>
                <w:rFonts w:ascii="仿宋_GB2312" w:hAnsi="仿宋_GB2312" w:cs="仿宋_GB2312" w:eastAsia="仿宋_GB2312"/>
                <w:sz w:val="24"/>
                <w:b/>
                <w:color w:val="000000"/>
              </w:rPr>
              <w:t>二、工程内容</w:t>
            </w:r>
          </w:p>
          <w:p>
            <w:pPr>
              <w:pStyle w:val="null3"/>
              <w:ind w:firstLine="480"/>
              <w:jc w:val="left"/>
            </w:pPr>
            <w:r>
              <w:rPr>
                <w:rFonts w:ascii="仿宋_GB2312" w:hAnsi="仿宋_GB2312" w:cs="仿宋_GB2312" w:eastAsia="仿宋_GB2312"/>
                <w:sz w:val="24"/>
                <w:color w:val="000000"/>
              </w:rPr>
              <w:t>工程内容：</w:t>
            </w:r>
            <w:r>
              <w:rPr>
                <w:rFonts w:ascii="仿宋_GB2312" w:hAnsi="仿宋_GB2312" w:cs="仿宋_GB2312" w:eastAsia="仿宋_GB2312"/>
                <w:sz w:val="24"/>
                <w:color w:val="000000"/>
              </w:rPr>
              <w:t>西安浐灞国际港区域违法建设、违法户外广告拆除工程。</w:t>
            </w:r>
          </w:p>
          <w:p>
            <w:pPr>
              <w:pStyle w:val="null3"/>
              <w:jc w:val="both"/>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含税完全综合</w:t>
            </w:r>
            <w:r>
              <w:rPr>
                <w:rFonts w:ascii="仿宋_GB2312" w:hAnsi="仿宋_GB2312" w:cs="仿宋_GB2312" w:eastAsia="仿宋_GB2312"/>
                <w:sz w:val="24"/>
                <w:b/>
                <w:color w:val="000000"/>
              </w:rPr>
              <w:t>单价最高限价</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违法建设拆除</w:t>
            </w:r>
            <w:r>
              <w:rPr>
                <w:rFonts w:ascii="仿宋_GB2312" w:hAnsi="仿宋_GB2312" w:cs="仿宋_GB2312" w:eastAsia="仿宋_GB2312"/>
                <w:sz w:val="24"/>
                <w:color w:val="000000"/>
              </w:rPr>
              <w:t>工程</w:t>
            </w:r>
          </w:p>
          <w:tbl>
            <w:tblPr>
              <w:tblInd w:type="dxa" w:w="120"/>
              <w:tblBorders>
                <w:top w:val="none" w:color="000000" w:sz="4"/>
                <w:left w:val="none" w:color="000000" w:sz="4"/>
                <w:bottom w:val="none" w:color="000000" w:sz="4"/>
                <w:right w:val="none" w:color="000000" w:sz="4"/>
                <w:insideH w:val="none"/>
                <w:insideV w:val="none"/>
              </w:tblBorders>
            </w:tblPr>
            <w:tblGrid>
              <w:gridCol w:w="631"/>
              <w:gridCol w:w="570"/>
              <w:gridCol w:w="703"/>
              <w:gridCol w:w="648"/>
            </w:tblGrid>
            <w:tr>
              <w:tc>
                <w:tcPr>
                  <w:tcW w:type="dxa" w:w="6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施工</w:t>
                  </w:r>
                  <w:r>
                    <w:rPr>
                      <w:rFonts w:ascii="仿宋_GB2312" w:hAnsi="仿宋_GB2312" w:cs="仿宋_GB2312" w:eastAsia="仿宋_GB2312"/>
                      <w:sz w:val="24"/>
                      <w:color w:val="000000"/>
                    </w:rPr>
                    <w:t>内容</w:t>
                  </w:r>
                </w:p>
              </w:tc>
              <w:tc>
                <w:tcPr>
                  <w:tcW w:type="dxa" w:w="57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结构类型</w:t>
                  </w:r>
                </w:p>
              </w:tc>
              <w:tc>
                <w:tcPr>
                  <w:tcW w:type="dxa" w:w="70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暂定工程量</w:t>
                  </w:r>
                </w:p>
              </w:tc>
              <w:tc>
                <w:tcPr>
                  <w:tcW w:type="dxa" w:w="64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含税完全综合</w:t>
                  </w:r>
                  <w:r>
                    <w:rPr>
                      <w:rFonts w:ascii="仿宋_GB2312" w:hAnsi="仿宋_GB2312" w:cs="仿宋_GB2312" w:eastAsia="仿宋_GB2312"/>
                      <w:sz w:val="24"/>
                      <w:color w:val="000000"/>
                    </w:rPr>
                    <w:t>单价最高限价</w:t>
                  </w:r>
                </w:p>
              </w:tc>
            </w:tr>
            <w:tr>
              <w:tc>
                <w:tcPr>
                  <w:tcW w:type="dxa" w:w="63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高空违建拆除</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钢架</w:t>
                  </w:r>
                </w:p>
              </w:tc>
              <w:tc>
                <w:tcPr>
                  <w:tcW w:type="dxa" w:w="703"/>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900㎡</w:t>
                  </w:r>
                </w:p>
              </w:tc>
              <w:tc>
                <w:tcPr>
                  <w:tcW w:type="dxa" w:w="648"/>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280元/㎡</w:t>
                  </w:r>
                </w:p>
              </w:tc>
            </w:tr>
            <w:tr>
              <w:tc>
                <w:tcPr>
                  <w:tcW w:type="dxa" w:w="631"/>
                  <w:vMerge/>
                  <w:tcBorders>
                    <w:top w:val="none" w:color="000000" w:sz="4"/>
                    <w:left w:val="singl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板房</w:t>
                  </w:r>
                </w:p>
              </w:tc>
              <w:tc>
                <w:tcPr>
                  <w:tcW w:type="dxa" w:w="703"/>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450㎡</w:t>
                  </w:r>
                </w:p>
              </w:tc>
              <w:tc>
                <w:tcPr>
                  <w:tcW w:type="dxa" w:w="648"/>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282元/㎡</w:t>
                  </w:r>
                </w:p>
              </w:tc>
            </w:tr>
            <w:tr>
              <w:tc>
                <w:tcPr>
                  <w:tcW w:type="dxa" w:w="631"/>
                  <w:vMerge/>
                  <w:tcBorders>
                    <w:top w:val="none" w:color="000000" w:sz="4"/>
                    <w:left w:val="singl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砖混</w:t>
                  </w:r>
                </w:p>
              </w:tc>
              <w:tc>
                <w:tcPr>
                  <w:tcW w:type="dxa" w:w="703"/>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540㎡</w:t>
                  </w:r>
                </w:p>
              </w:tc>
              <w:tc>
                <w:tcPr>
                  <w:tcW w:type="dxa" w:w="648"/>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630元/㎡</w:t>
                  </w:r>
                </w:p>
              </w:tc>
            </w:tr>
            <w:tr>
              <w:tc>
                <w:tcPr>
                  <w:tcW w:type="dxa" w:w="631"/>
                  <w:vMerge/>
                  <w:tcBorders>
                    <w:top w:val="none" w:color="000000" w:sz="4"/>
                    <w:left w:val="singl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木质</w:t>
                  </w:r>
                </w:p>
              </w:tc>
              <w:tc>
                <w:tcPr>
                  <w:tcW w:type="dxa" w:w="703"/>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180㎡</w:t>
                  </w:r>
                </w:p>
              </w:tc>
              <w:tc>
                <w:tcPr>
                  <w:tcW w:type="dxa" w:w="648"/>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268元/㎡</w:t>
                  </w:r>
                </w:p>
              </w:tc>
            </w:tr>
            <w:tr>
              <w:tc>
                <w:tcPr>
                  <w:tcW w:type="dxa" w:w="631"/>
                  <w:vMerge/>
                  <w:tcBorders>
                    <w:top w:val="none" w:color="000000" w:sz="4"/>
                    <w:left w:val="singl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户外广告</w:t>
                  </w:r>
                </w:p>
              </w:tc>
              <w:tc>
                <w:tcPr>
                  <w:tcW w:type="dxa" w:w="703"/>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150㎡</w:t>
                  </w:r>
                </w:p>
              </w:tc>
              <w:tc>
                <w:tcPr>
                  <w:tcW w:type="dxa" w:w="648"/>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350元/㎡</w:t>
                  </w:r>
                </w:p>
              </w:tc>
            </w:tr>
            <w:tr>
              <w:tc>
                <w:tcPr>
                  <w:tcW w:type="dxa" w:w="63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地面违建拆除</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钢架</w:t>
                  </w:r>
                </w:p>
              </w:tc>
              <w:tc>
                <w:tcPr>
                  <w:tcW w:type="dxa" w:w="703"/>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450㎡</w:t>
                  </w:r>
                </w:p>
              </w:tc>
              <w:tc>
                <w:tcPr>
                  <w:tcW w:type="dxa" w:w="648"/>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180元/㎡</w:t>
                  </w:r>
                </w:p>
              </w:tc>
            </w:tr>
            <w:tr>
              <w:tc>
                <w:tcPr>
                  <w:tcW w:type="dxa" w:w="631"/>
                  <w:vMerge/>
                  <w:tcBorders>
                    <w:top w:val="none" w:color="000000" w:sz="4"/>
                    <w:left w:val="singl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砖混</w:t>
                  </w:r>
                </w:p>
              </w:tc>
              <w:tc>
                <w:tcPr>
                  <w:tcW w:type="dxa" w:w="703"/>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450㎡</w:t>
                  </w:r>
                </w:p>
              </w:tc>
              <w:tc>
                <w:tcPr>
                  <w:tcW w:type="dxa" w:w="648"/>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230元/㎡</w:t>
                  </w:r>
                </w:p>
              </w:tc>
            </w:tr>
            <w:tr>
              <w:tc>
                <w:tcPr>
                  <w:tcW w:type="dxa" w:w="631"/>
                  <w:vMerge/>
                  <w:tcBorders>
                    <w:top w:val="none" w:color="000000" w:sz="4"/>
                    <w:left w:val="singl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简易房</w:t>
                  </w:r>
                </w:p>
              </w:tc>
              <w:tc>
                <w:tcPr>
                  <w:tcW w:type="dxa" w:w="703"/>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450㎡</w:t>
                  </w:r>
                </w:p>
              </w:tc>
              <w:tc>
                <w:tcPr>
                  <w:tcW w:type="dxa" w:w="648"/>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130元/㎡</w:t>
                  </w:r>
                </w:p>
              </w:tc>
            </w:tr>
            <w:tr>
              <w:tc>
                <w:tcPr>
                  <w:tcW w:type="dxa" w:w="631"/>
                  <w:vMerge/>
                  <w:tcBorders>
                    <w:top w:val="none" w:color="000000" w:sz="4"/>
                    <w:left w:val="singl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玻璃房</w:t>
                  </w:r>
                </w:p>
              </w:tc>
              <w:tc>
                <w:tcPr>
                  <w:tcW w:type="dxa" w:w="703"/>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270㎡</w:t>
                  </w:r>
                </w:p>
              </w:tc>
              <w:tc>
                <w:tcPr>
                  <w:tcW w:type="dxa" w:w="648"/>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120元/㎡</w:t>
                  </w:r>
                </w:p>
              </w:tc>
            </w:tr>
            <w:tr>
              <w:tc>
                <w:tcPr>
                  <w:tcW w:type="dxa" w:w="631"/>
                  <w:vMerge/>
                  <w:tcBorders>
                    <w:top w:val="none" w:color="000000" w:sz="4"/>
                    <w:left w:val="singl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户外广告</w:t>
                  </w:r>
                </w:p>
              </w:tc>
              <w:tc>
                <w:tcPr>
                  <w:tcW w:type="dxa" w:w="703"/>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150㎡</w:t>
                  </w:r>
                </w:p>
              </w:tc>
              <w:tc>
                <w:tcPr>
                  <w:tcW w:type="dxa" w:w="648"/>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120元/㎡</w:t>
                  </w:r>
                </w:p>
              </w:tc>
            </w:tr>
            <w:tr>
              <w:tc>
                <w:tcPr>
                  <w:tcW w:type="dxa" w:w="63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厂房违建拆除</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钢架</w:t>
                  </w:r>
                </w:p>
              </w:tc>
              <w:tc>
                <w:tcPr>
                  <w:tcW w:type="dxa" w:w="703"/>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899㎡</w:t>
                  </w:r>
                </w:p>
              </w:tc>
              <w:tc>
                <w:tcPr>
                  <w:tcW w:type="dxa" w:w="648"/>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100元/㎡</w:t>
                  </w:r>
                </w:p>
              </w:tc>
            </w:tr>
            <w:tr>
              <w:tc>
                <w:tcPr>
                  <w:tcW w:type="dxa" w:w="631"/>
                  <w:vMerge/>
                  <w:tcBorders>
                    <w:top w:val="none" w:color="000000" w:sz="4"/>
                    <w:left w:val="singl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砖混</w:t>
                  </w:r>
                </w:p>
              </w:tc>
              <w:tc>
                <w:tcPr>
                  <w:tcW w:type="dxa" w:w="703"/>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450㎡</w:t>
                  </w:r>
                </w:p>
              </w:tc>
              <w:tc>
                <w:tcPr>
                  <w:tcW w:type="dxa" w:w="648"/>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220元/㎡</w:t>
                  </w:r>
                </w:p>
              </w:tc>
            </w:tr>
            <w:tr>
              <w:tc>
                <w:tcPr>
                  <w:tcW w:type="dxa" w:w="631"/>
                  <w:vMerge/>
                  <w:tcBorders>
                    <w:top w:val="none" w:color="000000" w:sz="4"/>
                    <w:left w:val="singl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活动板房</w:t>
                  </w:r>
                </w:p>
              </w:tc>
              <w:tc>
                <w:tcPr>
                  <w:tcW w:type="dxa" w:w="703"/>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722㎡</w:t>
                  </w:r>
                </w:p>
              </w:tc>
              <w:tc>
                <w:tcPr>
                  <w:tcW w:type="dxa" w:w="648"/>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仿宋_GB2312" w:hAnsi="仿宋_GB2312" w:cs="仿宋_GB2312" w:eastAsia="仿宋_GB2312"/>
                      <w:sz w:val="24"/>
                      <w:color w:val="000000"/>
                    </w:rPr>
                    <w:t>130元/㎡</w:t>
                  </w:r>
                </w:p>
              </w:tc>
            </w:tr>
            <w:tr>
              <w:tc>
                <w:tcPr>
                  <w:tcW w:type="dxa" w:w="120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夹层违建拆除</w:t>
                  </w:r>
                </w:p>
                <w:p>
                  <w:pPr>
                    <w:pStyle w:val="null3"/>
                    <w:ind w:firstLine="480"/>
                    <w:jc w:val="center"/>
                  </w:pPr>
                  <w:r>
                    <w:rPr>
                      <w:rFonts w:ascii="仿宋_GB2312" w:hAnsi="仿宋_GB2312" w:cs="仿宋_GB2312" w:eastAsia="仿宋_GB2312"/>
                      <w:sz w:val="24"/>
                      <w:color w:val="000000"/>
                    </w:rPr>
                    <w:t>（两层及两层以上）</w:t>
                  </w:r>
                </w:p>
              </w:tc>
              <w:tc>
                <w:tcPr>
                  <w:tcW w:type="dxa" w:w="7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400㎡</w:t>
                  </w:r>
                </w:p>
              </w:tc>
              <w:tc>
                <w:tcPr>
                  <w:tcW w:type="dxa" w:w="6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600元/㎡</w:t>
                  </w:r>
                </w:p>
              </w:tc>
            </w:tr>
            <w:tr>
              <w:tc>
                <w:tcPr>
                  <w:tcW w:type="dxa" w:w="63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机械</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挖掘机（</w:t>
                  </w:r>
                  <w:r>
                    <w:rPr>
                      <w:rFonts w:ascii="仿宋_GB2312" w:hAnsi="仿宋_GB2312" w:cs="仿宋_GB2312" w:eastAsia="仿宋_GB2312"/>
                      <w:sz w:val="24"/>
                      <w:color w:val="000000"/>
                    </w:rPr>
                    <w:t>270）</w:t>
                  </w:r>
                </w:p>
              </w:tc>
              <w:tc>
                <w:tcPr>
                  <w:tcW w:type="dxa" w:w="7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310台班</w:t>
                  </w:r>
                </w:p>
              </w:tc>
              <w:tc>
                <w:tcPr>
                  <w:tcW w:type="dxa" w:w="64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2800元/台/8h</w:t>
                  </w:r>
                </w:p>
              </w:tc>
            </w:tr>
            <w:tr>
              <w:tc>
                <w:tcPr>
                  <w:tcW w:type="dxa" w:w="631"/>
                  <w:vMerge/>
                  <w:tcBorders>
                    <w:top w:val="none" w:color="000000" w:sz="4"/>
                    <w:left w:val="singl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装载机（</w:t>
                  </w:r>
                  <w:r>
                    <w:rPr>
                      <w:rFonts w:ascii="仿宋_GB2312" w:hAnsi="仿宋_GB2312" w:cs="仿宋_GB2312" w:eastAsia="仿宋_GB2312"/>
                      <w:sz w:val="24"/>
                      <w:color w:val="000000"/>
                    </w:rPr>
                    <w:t>50）</w:t>
                  </w:r>
                </w:p>
              </w:tc>
              <w:tc>
                <w:tcPr>
                  <w:tcW w:type="dxa" w:w="7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310台班</w:t>
                  </w:r>
                </w:p>
              </w:tc>
              <w:tc>
                <w:tcPr>
                  <w:tcW w:type="dxa" w:w="6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1600元/台/8h</w:t>
                  </w:r>
                </w:p>
              </w:tc>
            </w:tr>
          </w:tbl>
          <w:p>
            <w:pPr>
              <w:pStyle w:val="null3"/>
              <w:jc w:val="left"/>
            </w:pPr>
            <w:r>
              <w:rPr>
                <w:rFonts w:ascii="仿宋_GB2312" w:hAnsi="仿宋_GB2312" w:cs="仿宋_GB2312" w:eastAsia="仿宋_GB2312"/>
                <w:sz w:val="24"/>
                <w:b/>
                <w:color w:val="000000"/>
              </w:rPr>
              <w:t>四、施工要求</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在施工期间，供应商</w:t>
            </w:r>
            <w:r>
              <w:rPr>
                <w:rFonts w:ascii="仿宋_GB2312" w:hAnsi="仿宋_GB2312" w:cs="仿宋_GB2312" w:eastAsia="仿宋_GB2312"/>
                <w:sz w:val="24"/>
                <w:color w:val="000000"/>
              </w:rPr>
              <w:t>应遵守工程建设安全生产有关管理规定，严格按安全标准组织施工，采取必要的安全防护措施，消除事故隐患。</w:t>
            </w:r>
          </w:p>
          <w:p>
            <w:pPr>
              <w:pStyle w:val="null3"/>
              <w:ind w:firstLine="480"/>
              <w:jc w:val="left"/>
            </w:pPr>
            <w:r>
              <w:rPr>
                <w:rFonts w:ascii="仿宋_GB2312" w:hAnsi="仿宋_GB2312" w:cs="仿宋_GB2312" w:eastAsia="仿宋_GB2312"/>
                <w:sz w:val="24"/>
                <w:color w:val="000000"/>
              </w:rPr>
              <w:t>2.供应商</w:t>
            </w:r>
            <w:r>
              <w:rPr>
                <w:rFonts w:ascii="仿宋_GB2312" w:hAnsi="仿宋_GB2312" w:cs="仿宋_GB2312" w:eastAsia="仿宋_GB2312"/>
                <w:sz w:val="24"/>
                <w:color w:val="000000"/>
              </w:rPr>
              <w:t>必须配备足够的人员和充足的机械设备进入实施，确保按时保质保量完成任务。</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必须严密组织，文明施工，作好四周维护及安全环保措施，所需费用由</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承担，施工过程必须严格遵守政府相关规定。</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严格遵守西安市关于控制扬尘污染、治污减霾的相关规定，并承担一切安全事故或违规处罚所带来的经济及法律责任。</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在拆除作业前，</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应制定拆除施工方案，提出具体的防尘抑尘降尘降噪等环保措施，配备足够的防尘抑尘降尘软硬件设施，明确拆除工地具体的环保要求和环保责任人、制定湿法降尘专项实施方案，并按有关标准及专项实施方案实施湿法作业，有效降尘作业，造成扬尘污染的，必须服从相关监督或管理部门发出的责令整改并接受其按有关规定进行的处理。</w:t>
            </w:r>
          </w:p>
          <w:p>
            <w:pPr>
              <w:pStyle w:val="null3"/>
              <w:ind w:firstLine="480"/>
              <w:jc w:val="left"/>
            </w:pPr>
            <w:r>
              <w:rPr>
                <w:rFonts w:ascii="仿宋_GB2312" w:hAnsi="仿宋_GB2312" w:cs="仿宋_GB2312" w:eastAsia="仿宋_GB2312"/>
                <w:sz w:val="24"/>
                <w:color w:val="000000"/>
              </w:rPr>
              <w:t>6.供应商</w:t>
            </w:r>
            <w:r>
              <w:rPr>
                <w:rFonts w:ascii="仿宋_GB2312" w:hAnsi="仿宋_GB2312" w:cs="仿宋_GB2312" w:eastAsia="仿宋_GB2312"/>
                <w:sz w:val="24"/>
                <w:color w:val="000000"/>
              </w:rPr>
              <w:t>在拆除和外运渣土、垃圾中应严格遵守</w:t>
            </w:r>
            <w:r>
              <w:rPr>
                <w:rFonts w:ascii="仿宋_GB2312" w:hAnsi="仿宋_GB2312" w:cs="仿宋_GB2312" w:eastAsia="仿宋_GB2312"/>
                <w:sz w:val="24"/>
                <w:color w:val="000000"/>
              </w:rPr>
              <w:t>浐灞国际港</w:t>
            </w:r>
            <w:r>
              <w:rPr>
                <w:rFonts w:ascii="仿宋_GB2312" w:hAnsi="仿宋_GB2312" w:cs="仿宋_GB2312" w:eastAsia="仿宋_GB2312"/>
                <w:sz w:val="24"/>
                <w:color w:val="000000"/>
              </w:rPr>
              <w:t>关于治污减霾相关规定，服从</w:t>
            </w:r>
            <w:r>
              <w:rPr>
                <w:rFonts w:ascii="仿宋_GB2312" w:hAnsi="仿宋_GB2312" w:cs="仿宋_GB2312" w:eastAsia="仿宋_GB2312"/>
                <w:sz w:val="24"/>
                <w:color w:val="000000"/>
              </w:rPr>
              <w:t>浐灞国际港</w:t>
            </w:r>
            <w:r>
              <w:rPr>
                <w:rFonts w:ascii="仿宋_GB2312" w:hAnsi="仿宋_GB2312" w:cs="仿宋_GB2312" w:eastAsia="仿宋_GB2312"/>
                <w:sz w:val="24"/>
                <w:color w:val="000000"/>
              </w:rPr>
              <w:t>相关部门管理，严格做好治污减霾工作。</w:t>
            </w:r>
          </w:p>
          <w:p>
            <w:pPr>
              <w:pStyle w:val="null3"/>
              <w:ind w:firstLine="480"/>
              <w:jc w:val="left"/>
            </w:pPr>
            <w:r>
              <w:rPr>
                <w:rFonts w:ascii="仿宋_GB2312" w:hAnsi="仿宋_GB2312" w:cs="仿宋_GB2312" w:eastAsia="仿宋_GB2312"/>
                <w:sz w:val="24"/>
                <w:color w:val="000000"/>
              </w:rPr>
              <w:t>7.供应商</w:t>
            </w:r>
            <w:r>
              <w:rPr>
                <w:rFonts w:ascii="仿宋_GB2312" w:hAnsi="仿宋_GB2312" w:cs="仿宋_GB2312" w:eastAsia="仿宋_GB2312"/>
                <w:sz w:val="24"/>
                <w:color w:val="000000"/>
              </w:rPr>
              <w:t>必须严格按照治污减霾工作要求，完成施工出入口、洗车台、监控、环境监测设备等设施施工、安装，负责场内垃圾，裸露黄土覆盖、道路冲洗等工作，并承担相关费用，同时，需根据政府相关部门要求，完成拆除、渣土和垃圾外运相关手续办理后方可进场施工。施工过程中，应无条件响应各级管</w:t>
            </w:r>
            <w:r>
              <w:rPr>
                <w:rFonts w:ascii="仿宋_GB2312" w:hAnsi="仿宋_GB2312" w:cs="仿宋_GB2312" w:eastAsia="仿宋_GB2312"/>
                <w:sz w:val="24"/>
                <w:color w:val="000000"/>
              </w:rPr>
              <w:t>理部门，</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各项管理规定，要求停工时必须立即停工，如因</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私自作业，不按要求施工等情况由</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承担全部责任，由此产生的全部费用由</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承担。</w:t>
            </w:r>
          </w:p>
          <w:p>
            <w:pPr>
              <w:pStyle w:val="null3"/>
              <w:jc w:val="left"/>
            </w:pPr>
            <w:r>
              <w:rPr>
                <w:rFonts w:ascii="仿宋_GB2312" w:hAnsi="仿宋_GB2312" w:cs="仿宋_GB2312" w:eastAsia="仿宋_GB2312"/>
                <w:sz w:val="24"/>
                <w:color w:val="000000"/>
              </w:rPr>
              <w:t xml:space="preserve">  8.供应商</w:t>
            </w:r>
            <w:r>
              <w:rPr>
                <w:rFonts w:ascii="仿宋_GB2312" w:hAnsi="仿宋_GB2312" w:cs="仿宋_GB2312" w:eastAsia="仿宋_GB2312"/>
                <w:sz w:val="24"/>
                <w:color w:val="000000"/>
              </w:rPr>
              <w:t>负责现场安全管理工作，并承担全部责任及由此产生的全部费用，现场人员由</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按照相关规定办理相关保险事宜。</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（一）工期：合同签订之日起一年。 （二）付款方式： 1.预付款支付条款：无 2.剩余款项支付条款： 合同签订后，每季度结算一次，乙方应向甲方出具书面付款通知（注明开户行及账户信息）以及符合国家财税规定的增值税发票，达到付款条件起30日内，支付结算价款的80.00%。 合同期满并验收合格后乙方应向甲方出具书面付款通知（注明开户行及账户信息）以及符合国家财税规定的增值税发票，达到付款条件起30日内，甲方一次性支付剩余价款。乙方向甲方上报经过甲方现场工作人员确认的工作量，结算金额为单价与实际违法建设拆除面积的乘积，据实结算。 （三）第二章 2.4.7中“已标价工程量清单的扉页(仅指投标总价扉页)应由注册或登记的造价人员签字并盖执业印章。 ”为系统制式模板，与本项目实际情况不符，本项目已标价工程量清单无扉页(仅指投标总价扉页)，无须由注册或登记的造价人员签字并盖执业印章。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w:t>
            </w:r>
          </w:p>
        </w:tc>
        <w:tc>
          <w:tcPr>
            <w:tcW w:type="dxa" w:w="3322"/>
          </w:tcPr>
          <w:p>
            <w:pPr>
              <w:pStyle w:val="null3"/>
            </w:pPr>
            <w:r>
              <w:rPr>
                <w:rFonts w:ascii="仿宋_GB2312" w:hAnsi="仿宋_GB2312" w:cs="仿宋_GB2312" w:eastAsia="仿宋_GB2312"/>
              </w:rPr>
              <w:t>符合《中华人民共和国政府采购法》第二十二条的规定；</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 定代表人身份证，并与营业执照上信息一致。法定代表人授权代表参加磋商的，须出具法定代表人授权书及授权代表身份证，授权代表须提供近六个月中任一个月缴纳社保证明复印件并加盖单位公章；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供应商须具备建设行政主管部门颁发的建筑工程施工总承包三级及以上（含三级）资质（或调整后的同等级资质），并具有有效的安全生产许可证；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拟派项目负责人须具有建筑工程专业二级及以上（含二级）注册建造师资格证书及具备有效的安全生产考核证书B证，在本单位注册且无在建项目；</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rFonts w:ascii="仿宋_GB2312" w:hAnsi="仿宋_GB2312" w:cs="仿宋_GB2312" w:eastAsia="仿宋_GB2312"/>
              </w:rPr>
              <w:t>报价函 标的清单 分项明细报价表.docx 首轮报价.docx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分项明细报价表.docx 资格证明文件.docx 首轮报价.docx 响应文件封面 磋商响应单位承诺书.docx 主要人员简历表.docx 项目负责人简历表.docx 报价函 标的清单 项目管理机构组成表.docx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报价函 标的清单 分项明细报价表.docx 首轮报价.docx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报价函 项目管理机构组成表.docx 标的清单 响应函 资格证明文件.docx 首轮报价.docx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中小企业声明函 技术服务合同条款及其他商务要求应答表 分项明细报价表.docx 资格证明文件.docx 首轮报价.docx 响应文件封面 磋商响应单位承诺书.docx 技术响应方案.docx 主要人员简历表.docx 项目负责人简历表.docx 报价函 标的清单 项目管理机构组成表.docx 供应商类似项目业绩一览表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报价函 标的清单 分项明细报价表.docx 首轮报价.docx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分项明细报价表.docx 首轮报价.docx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违法建设拆除实施方案</w:t>
            </w:r>
          </w:p>
        </w:tc>
        <w:tc>
          <w:tcPr>
            <w:tcW w:type="dxa" w:w="2492"/>
          </w:tcPr>
          <w:p>
            <w:pPr>
              <w:pStyle w:val="null3"/>
            </w:pPr>
            <w:r>
              <w:rPr>
                <w:rFonts w:ascii="仿宋_GB2312" w:hAnsi="仿宋_GB2312" w:cs="仿宋_GB2312" w:eastAsia="仿宋_GB2312"/>
              </w:rPr>
              <w:t>各供应商的违法建设拆除实施方案是否结合本项目实际情况，提出具有针对性、具体明确、科学详细的可行性作业方案。方案针对性强、具体明确、科学详细完整的得（7-10］分；方案针对性较强、较明确、科学详细完整的得（4-7］分；方案可行性一般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施工质量组织措施</w:t>
            </w:r>
          </w:p>
        </w:tc>
        <w:tc>
          <w:tcPr>
            <w:tcW w:type="dxa" w:w="2492"/>
          </w:tcPr>
          <w:p>
            <w:pPr>
              <w:pStyle w:val="null3"/>
            </w:pPr>
            <w:r>
              <w:rPr>
                <w:rFonts w:ascii="仿宋_GB2312" w:hAnsi="仿宋_GB2312" w:cs="仿宋_GB2312" w:eastAsia="仿宋_GB2312"/>
              </w:rPr>
              <w:t>确保施工质量组织措施科学合理、具备可行性。措施科学合理、可行性强、针对性强得（3-5］分；措施较科学合理、可行性一般得（0-3］分。未提供不得分。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制定详细的施工进度计划及计划保证实施方案。实施方案科学合理、可行性强得（3-5］分；实施方案较科学合理、可行性一般得（0-3］分。未提供不得分。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项目组成人员</w:t>
            </w:r>
          </w:p>
        </w:tc>
        <w:tc>
          <w:tcPr>
            <w:tcW w:type="dxa" w:w="2492"/>
          </w:tcPr>
          <w:p>
            <w:pPr>
              <w:pStyle w:val="null3"/>
            </w:pPr>
            <w:r>
              <w:rPr>
                <w:rFonts w:ascii="仿宋_GB2312" w:hAnsi="仿宋_GB2312" w:cs="仿宋_GB2312" w:eastAsia="仿宋_GB2312"/>
              </w:rPr>
              <w:t>项目组成人员配备合理、分工明确，有详细的安排计划得（6-8］分；组成人员配备较合理、分工较明确，安排计划较合理得（3-6］分；组成人员配备基本合理、分工基本明确，安排计划基本合理得（0-3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根据供应商对本项目施工配置的拆除工具、运输工具数量及条件、车辆配备等情况综合比较。配备合理完全满足需求得（4-7］分；配备较合理得（0-4］分。未提供不得分。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安全文明生产保证措施</w:t>
            </w:r>
          </w:p>
        </w:tc>
        <w:tc>
          <w:tcPr>
            <w:tcW w:type="dxa" w:w="2492"/>
          </w:tcPr>
          <w:p>
            <w:pPr>
              <w:pStyle w:val="null3"/>
            </w:pPr>
            <w:r>
              <w:rPr>
                <w:rFonts w:ascii="仿宋_GB2312" w:hAnsi="仿宋_GB2312" w:cs="仿宋_GB2312" w:eastAsia="仿宋_GB2312"/>
              </w:rPr>
              <w:t>安全文明生产保证措施。措施方案可实施性强得（3-5］分；措施方案可实施性一般得（0-3］分。未提供不得分。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确保工期的技术组织措施。可实施性强得（3-5］分；可实施性一般得（0-3］分。未提供不得分。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确保施工过程中环境保护措施</w:t>
            </w:r>
          </w:p>
        </w:tc>
        <w:tc>
          <w:tcPr>
            <w:tcW w:type="dxa" w:w="2492"/>
          </w:tcPr>
          <w:p>
            <w:pPr>
              <w:pStyle w:val="null3"/>
            </w:pPr>
            <w:r>
              <w:rPr>
                <w:rFonts w:ascii="仿宋_GB2312" w:hAnsi="仿宋_GB2312" w:cs="仿宋_GB2312" w:eastAsia="仿宋_GB2312"/>
              </w:rPr>
              <w:t>确保施工过程中环境保护（噪音、扬尘）措施。措施可实施性强得（3-5］分；可实施性一般得（0-3］分。未提供不得分。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供应商针对突发事件提供应急保障措施应急保障措施详尽、全面、有效、合理，可实施性强得（3-5］分；应急保障措施有效、合理，具有一定实施性得（0-3］分。未提供不得分。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供应商针对本项目有详细的施工承诺（包括但不限于工期、工程质量、工程安全方面）；描述详尽、具体、可行性强得（3-5］分；描述较详尽、较具体、可行性一般得（0-3］分。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提供2022年01月01日以来类似项目业绩合同（以合同签订时间为准），每份计2分，满分10分。（注：以上证明文件在响应文件中附业绩合同扫描件并加盖公司公章。）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经资格审查、符合性审查合格的投标文件，其投标报价为有效投标报价。满足招标文件要求且投标价格最低的投标报价为评标基准价，其价格分为满分。价格分按照下列公式计算。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首轮报价.docx</w:t>
            </w:r>
          </w:p>
          <w:p>
            <w:pPr>
              <w:pStyle w:val="null3"/>
            </w:pPr>
            <w:r>
              <w:rPr>
                <w:rFonts w:ascii="仿宋_GB2312" w:hAnsi="仿宋_GB2312" w:cs="仿宋_GB2312" w:eastAsia="仿宋_GB2312"/>
              </w:rPr>
              <w:t>分项明细报价表.docx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详见附件：首轮报价.docx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详见附件：分项明细报价表.docx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详见附件：项目管理机构组成表.docx</w:t>
      </w:r>
    </w:p>
    <w:p>
      <w:pPr>
        <w:pStyle w:val="null3"/>
        <w:ind w:firstLine="960"/>
      </w:pPr>
      <w:r>
        <w:rPr>
          <w:rFonts w:ascii="仿宋_GB2312" w:hAnsi="仿宋_GB2312" w:cs="仿宋_GB2312" w:eastAsia="仿宋_GB2312"/>
        </w:rPr>
        <w:t>详见附件：项目负责人简历表.docx</w:t>
      </w:r>
    </w:p>
    <w:p>
      <w:pPr>
        <w:pStyle w:val="null3"/>
        <w:ind w:firstLine="960"/>
      </w:pPr>
      <w:r>
        <w:rPr>
          <w:rFonts w:ascii="仿宋_GB2312" w:hAnsi="仿宋_GB2312" w:cs="仿宋_GB2312" w:eastAsia="仿宋_GB2312"/>
        </w:rPr>
        <w:t>详见附件：主要人员简历表.docx</w:t>
      </w:r>
    </w:p>
    <w:p>
      <w:pPr>
        <w:pStyle w:val="null3"/>
        <w:ind w:firstLine="960"/>
      </w:pPr>
      <w:r>
        <w:rPr>
          <w:rFonts w:ascii="仿宋_GB2312" w:hAnsi="仿宋_GB2312" w:cs="仿宋_GB2312" w:eastAsia="仿宋_GB2312"/>
        </w:rPr>
        <w:t>详见附件：磋商响应单位承诺书.docx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