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FFD49F">
      <w:pPr>
        <w:pStyle w:val="2"/>
        <w:rPr>
          <w:rFonts w:hint="eastAsia"/>
        </w:rPr>
      </w:pPr>
    </w:p>
    <w:p w14:paraId="6ACAEAE1">
      <w:pPr>
        <w:pStyle w:val="3"/>
        <w:rPr>
          <w:rFonts w:hint="eastAsia"/>
        </w:rPr>
      </w:pPr>
    </w:p>
    <w:p w14:paraId="53D10E3A">
      <w:pPr>
        <w:spacing w:line="360" w:lineRule="auto"/>
        <w:jc w:val="center"/>
        <w:rPr>
          <w:rFonts w:hint="eastAsia" w:ascii="宋体" w:hAnsi="宋体" w:eastAsia="宋体" w:cs="宋体"/>
          <w:b/>
          <w:sz w:val="48"/>
          <w:szCs w:val="48"/>
          <w:highlight w:val="none"/>
          <w:lang w:eastAsia="zh-CN"/>
        </w:rPr>
      </w:pPr>
      <w:r>
        <w:rPr>
          <w:rFonts w:hint="eastAsia" w:ascii="宋体" w:hAnsi="宋体" w:eastAsia="宋体" w:cs="宋体"/>
          <w:b/>
          <w:sz w:val="48"/>
          <w:szCs w:val="48"/>
          <w:highlight w:val="none"/>
          <w:lang w:eastAsia="zh-CN"/>
        </w:rPr>
        <w:t>西安浐灞国际港城市管理和综合执法局违法</w:t>
      </w:r>
    </w:p>
    <w:p w14:paraId="3180D6EF">
      <w:pPr>
        <w:spacing w:line="360" w:lineRule="auto"/>
        <w:jc w:val="center"/>
        <w:rPr>
          <w:rFonts w:hint="eastAsia" w:ascii="宋体" w:hAnsi="宋体" w:eastAsia="宋体" w:cs="宋体"/>
          <w:b/>
          <w:sz w:val="48"/>
          <w:szCs w:val="48"/>
          <w:highlight w:val="none"/>
          <w:lang w:eastAsia="zh-CN"/>
        </w:rPr>
      </w:pPr>
      <w:r>
        <w:rPr>
          <w:rFonts w:hint="eastAsia" w:ascii="宋体" w:hAnsi="宋体" w:eastAsia="宋体" w:cs="宋体"/>
          <w:b/>
          <w:sz w:val="48"/>
          <w:szCs w:val="48"/>
          <w:highlight w:val="none"/>
          <w:lang w:eastAsia="zh-CN"/>
        </w:rPr>
        <w:t>建设拆除工程项目</w:t>
      </w:r>
    </w:p>
    <w:p w14:paraId="57FDAE96">
      <w:pPr>
        <w:rPr>
          <w:rFonts w:hint="eastAsia" w:ascii="宋体" w:hAnsi="宋体" w:eastAsia="宋体" w:cs="宋体"/>
          <w:b/>
          <w:sz w:val="44"/>
          <w:szCs w:val="44"/>
          <w:highlight w:val="none"/>
        </w:rPr>
      </w:pPr>
    </w:p>
    <w:p w14:paraId="28AED2AF">
      <w:pPr>
        <w:rPr>
          <w:rFonts w:hint="eastAsia" w:ascii="宋体" w:hAnsi="宋体" w:eastAsia="宋体" w:cs="宋体"/>
          <w:highlight w:val="none"/>
        </w:rPr>
      </w:pPr>
    </w:p>
    <w:p w14:paraId="62B591A7">
      <w:pPr>
        <w:rPr>
          <w:rFonts w:hint="eastAsia" w:ascii="宋体" w:hAnsi="宋体" w:eastAsia="宋体" w:cs="宋体"/>
          <w:highlight w:val="none"/>
        </w:rPr>
      </w:pPr>
    </w:p>
    <w:p w14:paraId="3F1DC394">
      <w:pPr>
        <w:jc w:val="center"/>
        <w:rPr>
          <w:rFonts w:hint="eastAsia" w:ascii="宋体" w:hAnsi="宋体" w:eastAsia="宋体" w:cs="宋体"/>
          <w:b/>
          <w:sz w:val="52"/>
          <w:szCs w:val="52"/>
          <w:highlight w:val="none"/>
          <w:lang w:eastAsia="zh-CN"/>
        </w:rPr>
      </w:pPr>
      <w:r>
        <w:rPr>
          <w:rFonts w:hint="eastAsia" w:ascii="宋体" w:hAnsi="宋体" w:eastAsia="宋体" w:cs="宋体"/>
          <w:b/>
          <w:sz w:val="52"/>
          <w:szCs w:val="52"/>
          <w:highlight w:val="none"/>
        </w:rPr>
        <w:t>合同</w:t>
      </w:r>
      <w:r>
        <w:rPr>
          <w:rFonts w:hint="eastAsia" w:ascii="宋体" w:hAnsi="宋体" w:eastAsia="宋体" w:cs="宋体"/>
          <w:b/>
          <w:sz w:val="52"/>
          <w:szCs w:val="52"/>
          <w:highlight w:val="none"/>
          <w:lang w:eastAsia="zh-CN"/>
        </w:rPr>
        <w:t>主要条款</w:t>
      </w:r>
    </w:p>
    <w:p w14:paraId="385D6398">
      <w:pPr>
        <w:jc w:val="center"/>
        <w:rPr>
          <w:rFonts w:hint="eastAsia" w:ascii="宋体" w:hAnsi="宋体" w:eastAsia="宋体" w:cs="宋体"/>
          <w:b/>
          <w:sz w:val="48"/>
          <w:szCs w:val="48"/>
          <w:highlight w:val="none"/>
        </w:rPr>
      </w:pPr>
    </w:p>
    <w:p w14:paraId="2B1F474F">
      <w:pPr>
        <w:jc w:val="center"/>
        <w:rPr>
          <w:rFonts w:hint="eastAsia" w:ascii="宋体" w:hAnsi="宋体" w:eastAsia="宋体" w:cs="宋体"/>
          <w:b/>
          <w:sz w:val="48"/>
          <w:szCs w:val="48"/>
          <w:highlight w:val="none"/>
        </w:rPr>
      </w:pPr>
    </w:p>
    <w:p w14:paraId="58D89774">
      <w:pPr>
        <w:jc w:val="center"/>
        <w:rPr>
          <w:rFonts w:hint="eastAsia" w:ascii="宋体" w:hAnsi="宋体" w:eastAsia="宋体" w:cs="宋体"/>
          <w:b/>
          <w:bCs/>
          <w:sz w:val="30"/>
          <w:szCs w:val="30"/>
          <w:highlight w:val="none"/>
        </w:rPr>
      </w:pPr>
      <w:r>
        <w:rPr>
          <w:rFonts w:hint="eastAsia" w:ascii="宋体" w:hAnsi="宋体" w:eastAsia="宋体" w:cs="宋体"/>
          <w:b/>
          <w:sz w:val="32"/>
          <w:szCs w:val="32"/>
          <w:highlight w:val="none"/>
        </w:rPr>
        <w:t>合同编号：</w:t>
      </w:r>
      <w:r>
        <w:rPr>
          <w:rFonts w:hint="eastAsia" w:ascii="宋体" w:hAnsi="宋体" w:eastAsia="宋体" w:cs="宋体"/>
          <w:b/>
          <w:bCs/>
          <w:sz w:val="30"/>
          <w:szCs w:val="30"/>
          <w:highlight w:val="none"/>
        </w:rPr>
        <w:t>XXXX</w:t>
      </w:r>
    </w:p>
    <w:p w14:paraId="31F2EDE3">
      <w:pPr>
        <w:rPr>
          <w:rFonts w:hint="eastAsia" w:ascii="宋体" w:hAnsi="宋体" w:eastAsia="宋体" w:cs="宋体"/>
          <w:b/>
          <w:highlight w:val="none"/>
        </w:rPr>
      </w:pPr>
    </w:p>
    <w:p w14:paraId="541D54AF">
      <w:pPr>
        <w:rPr>
          <w:rFonts w:hint="eastAsia" w:ascii="宋体" w:hAnsi="宋体" w:eastAsia="宋体" w:cs="宋体"/>
          <w:b/>
          <w:highlight w:val="none"/>
        </w:rPr>
      </w:pPr>
    </w:p>
    <w:p w14:paraId="0F3F28C7">
      <w:pPr>
        <w:rPr>
          <w:rFonts w:hint="eastAsia" w:ascii="宋体" w:hAnsi="宋体" w:eastAsia="宋体" w:cs="宋体"/>
          <w:b/>
          <w:highlight w:val="none"/>
        </w:rPr>
      </w:pPr>
    </w:p>
    <w:p w14:paraId="2FBB412D">
      <w:pPr>
        <w:rPr>
          <w:rFonts w:hint="eastAsia" w:ascii="宋体" w:hAnsi="宋体" w:eastAsia="宋体" w:cs="宋体"/>
          <w:b/>
          <w:highlight w:val="none"/>
        </w:rPr>
      </w:pPr>
    </w:p>
    <w:p w14:paraId="49C708F6">
      <w:pPr>
        <w:rPr>
          <w:rFonts w:hint="eastAsia" w:ascii="宋体" w:hAnsi="宋体" w:eastAsia="宋体" w:cs="宋体"/>
          <w:b/>
          <w:highlight w:val="none"/>
        </w:rPr>
      </w:pPr>
    </w:p>
    <w:p w14:paraId="3726FA76">
      <w:pPr>
        <w:rPr>
          <w:rFonts w:hint="eastAsia" w:ascii="宋体" w:hAnsi="宋体" w:eastAsia="宋体" w:cs="宋体"/>
          <w:b/>
          <w:highlight w:val="none"/>
        </w:rPr>
      </w:pPr>
    </w:p>
    <w:p w14:paraId="255EABD2">
      <w:pPr>
        <w:rPr>
          <w:rFonts w:hint="eastAsia" w:ascii="宋体" w:hAnsi="宋体" w:eastAsia="宋体" w:cs="宋体"/>
          <w:b/>
          <w:highlight w:val="none"/>
        </w:rPr>
      </w:pPr>
    </w:p>
    <w:p w14:paraId="6583F880">
      <w:pPr>
        <w:rPr>
          <w:rFonts w:hint="eastAsia" w:ascii="宋体" w:hAnsi="宋体" w:eastAsia="宋体" w:cs="宋体"/>
          <w:b/>
          <w:highlight w:val="none"/>
        </w:rPr>
      </w:pPr>
    </w:p>
    <w:p w14:paraId="1055EA24">
      <w:pPr>
        <w:rPr>
          <w:rFonts w:hint="eastAsia" w:ascii="宋体" w:hAnsi="宋体" w:eastAsia="宋体" w:cs="宋体"/>
          <w:b/>
          <w:highlight w:val="none"/>
        </w:rPr>
      </w:pPr>
    </w:p>
    <w:p w14:paraId="33C49669">
      <w:pPr>
        <w:rPr>
          <w:rFonts w:hint="eastAsia" w:ascii="宋体" w:hAnsi="宋体" w:eastAsia="宋体" w:cs="宋体"/>
          <w:b/>
          <w:highlight w:val="none"/>
        </w:rPr>
      </w:pPr>
    </w:p>
    <w:p w14:paraId="5126E2B6">
      <w:pPr>
        <w:spacing w:line="360" w:lineRule="auto"/>
        <w:ind w:left="1469" w:hanging="1469" w:hangingChars="400"/>
        <w:jc w:val="center"/>
        <w:rPr>
          <w:rFonts w:hint="eastAsia" w:ascii="宋体" w:hAnsi="宋体" w:eastAsia="宋体" w:cs="宋体"/>
          <w:b/>
          <w:spacing w:val="23"/>
          <w:sz w:val="32"/>
          <w:szCs w:val="32"/>
          <w:highlight w:val="none"/>
        </w:rPr>
      </w:pPr>
      <w:r>
        <w:rPr>
          <w:rFonts w:hint="eastAsia" w:ascii="宋体" w:hAnsi="宋体" w:eastAsia="宋体" w:cs="宋体"/>
          <w:b/>
          <w:spacing w:val="23"/>
          <w:sz w:val="32"/>
          <w:szCs w:val="32"/>
          <w:highlight w:val="none"/>
        </w:rPr>
        <w:t>甲方(</w:t>
      </w:r>
      <w:r>
        <w:rPr>
          <w:rFonts w:hint="eastAsia" w:ascii="宋体" w:hAnsi="宋体" w:eastAsia="宋体" w:cs="宋体"/>
          <w:b/>
          <w:spacing w:val="23"/>
          <w:sz w:val="32"/>
          <w:szCs w:val="32"/>
          <w:highlight w:val="none"/>
        </w:rPr>
        <w:fldChar w:fldCharType="begin"/>
      </w:r>
      <w:r>
        <w:rPr>
          <w:rFonts w:hint="eastAsia" w:ascii="宋体" w:hAnsi="宋体" w:eastAsia="宋体" w:cs="宋体"/>
          <w:b/>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eastAsia="宋体" w:cs="宋体"/>
          <w:b/>
          <w:spacing w:val="23"/>
          <w:sz w:val="32"/>
          <w:szCs w:val="32"/>
          <w:highlight w:val="none"/>
        </w:rPr>
        <w:fldChar w:fldCharType="separate"/>
      </w:r>
      <w:r>
        <w:rPr>
          <w:rFonts w:hint="eastAsia" w:ascii="宋体" w:hAnsi="宋体" w:eastAsia="宋体" w:cs="宋体"/>
          <w:b/>
          <w:spacing w:val="23"/>
          <w:sz w:val="32"/>
          <w:szCs w:val="32"/>
          <w:highlight w:val="none"/>
        </w:rPr>
        <w:t>采购人</w:t>
      </w:r>
      <w:r>
        <w:rPr>
          <w:rFonts w:hint="eastAsia" w:ascii="宋体" w:hAnsi="宋体" w:eastAsia="宋体" w:cs="宋体"/>
          <w:b/>
          <w:spacing w:val="23"/>
          <w:sz w:val="32"/>
          <w:szCs w:val="32"/>
          <w:highlight w:val="none"/>
        </w:rPr>
        <w:fldChar w:fldCharType="end"/>
      </w:r>
      <w:r>
        <w:rPr>
          <w:rFonts w:hint="eastAsia" w:ascii="宋体" w:hAnsi="宋体" w:eastAsia="宋体" w:cs="宋体"/>
          <w:b/>
          <w:spacing w:val="23"/>
          <w:sz w:val="32"/>
          <w:szCs w:val="32"/>
          <w:highlight w:val="none"/>
        </w:rPr>
        <w:t>)：</w:t>
      </w:r>
      <w:r>
        <w:rPr>
          <w:rFonts w:hint="eastAsia" w:ascii="宋体" w:hAnsi="宋体" w:eastAsia="宋体" w:cs="宋体"/>
          <w:spacing w:val="23"/>
          <w:sz w:val="28"/>
          <w:szCs w:val="28"/>
          <w:highlight w:val="none"/>
          <w:u w:val="single"/>
        </w:rPr>
        <w:t></w:t>
      </w:r>
    </w:p>
    <w:p w14:paraId="2DA2EDEF">
      <w:pPr>
        <w:spacing w:line="360" w:lineRule="auto"/>
        <w:ind w:left="1285" w:hanging="1469" w:hangingChars="400"/>
        <w:jc w:val="center"/>
        <w:rPr>
          <w:rFonts w:hint="eastAsia" w:ascii="宋体" w:hAnsi="宋体" w:eastAsia="宋体" w:cs="宋体"/>
          <w:spacing w:val="23"/>
          <w:sz w:val="28"/>
          <w:szCs w:val="28"/>
          <w:highlight w:val="none"/>
          <w:u w:val="single"/>
        </w:rPr>
      </w:pPr>
      <w:r>
        <w:rPr>
          <w:rFonts w:hint="eastAsia" w:ascii="宋体" w:hAnsi="宋体" w:eastAsia="宋体" w:cs="宋体"/>
          <w:b/>
          <w:spacing w:val="23"/>
          <w:sz w:val="32"/>
          <w:szCs w:val="32"/>
          <w:highlight w:val="none"/>
        </w:rPr>
        <w:fldChar w:fldCharType="begin"/>
      </w:r>
      <w:r>
        <w:rPr>
          <w:rFonts w:hint="eastAsia" w:ascii="宋体" w:hAnsi="宋体" w:eastAsia="宋体" w:cs="宋体"/>
          <w:b/>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spacing w:val="23"/>
          <w:sz w:val="32"/>
          <w:szCs w:val="32"/>
          <w:highlight w:val="none"/>
        </w:rPr>
        <w:fldChar w:fldCharType="separate"/>
      </w:r>
      <w:r>
        <w:rPr>
          <w:rFonts w:hint="eastAsia" w:ascii="宋体" w:hAnsi="宋体" w:eastAsia="宋体" w:cs="宋体"/>
          <w:b/>
          <w:spacing w:val="23"/>
          <w:sz w:val="32"/>
          <w:szCs w:val="32"/>
          <w:highlight w:val="none"/>
        </w:rPr>
        <w:t>乙方</w:t>
      </w:r>
      <w:r>
        <w:rPr>
          <w:rFonts w:hint="eastAsia" w:ascii="宋体" w:hAnsi="宋体" w:eastAsia="宋体" w:cs="宋体"/>
          <w:b/>
          <w:spacing w:val="23"/>
          <w:sz w:val="32"/>
          <w:szCs w:val="32"/>
          <w:highlight w:val="none"/>
        </w:rPr>
        <w:fldChar w:fldCharType="end"/>
      </w:r>
      <w:r>
        <w:rPr>
          <w:rFonts w:hint="eastAsia" w:ascii="宋体" w:hAnsi="宋体" w:eastAsia="宋体" w:cs="宋体"/>
          <w:b/>
          <w:spacing w:val="23"/>
          <w:sz w:val="32"/>
          <w:szCs w:val="32"/>
          <w:highlight w:val="none"/>
        </w:rPr>
        <w:t>(供应商)：</w:t>
      </w:r>
      <w:r>
        <w:rPr>
          <w:rFonts w:hint="eastAsia" w:ascii="宋体" w:hAnsi="宋体" w:eastAsia="宋体" w:cs="宋体"/>
          <w:spacing w:val="23"/>
          <w:sz w:val="28"/>
          <w:szCs w:val="28"/>
          <w:highlight w:val="none"/>
          <w:u w:val="single"/>
        </w:rPr>
        <w:t></w:t>
      </w:r>
    </w:p>
    <w:p w14:paraId="28F31BF1">
      <w:pPr>
        <w:keepNext w:val="0"/>
        <w:keepLines w:val="0"/>
        <w:pageBreakBefore w:val="0"/>
        <w:widowControl w:val="0"/>
        <w:kinsoku w:val="0"/>
        <w:wordWrap/>
        <w:overflowPunct/>
        <w:topLinePunct w:val="0"/>
        <w:autoSpaceDE/>
        <w:autoSpaceDN/>
        <w:bidi w:val="0"/>
        <w:spacing w:line="360" w:lineRule="auto"/>
        <w:ind w:left="0" w:leftChars="0" w:right="0" w:rightChars="0" w:firstLine="0" w:firstLineChars="0"/>
        <w:jc w:val="center"/>
        <w:textAlignment w:val="auto"/>
        <w:rPr>
          <w:rFonts w:hint="eastAsia" w:ascii="宋体" w:hAnsi="宋体" w:eastAsia="宋体" w:cs="宋体"/>
          <w:b/>
          <w:spacing w:val="23"/>
          <w:sz w:val="32"/>
          <w:szCs w:val="32"/>
          <w:highlight w:val="none"/>
        </w:rPr>
      </w:pPr>
      <w:r>
        <w:rPr>
          <w:rFonts w:hint="eastAsia" w:ascii="宋体" w:hAnsi="宋体" w:eastAsia="宋体" w:cs="宋体"/>
          <w:b/>
          <w:spacing w:val="23"/>
          <w:sz w:val="32"/>
          <w:szCs w:val="32"/>
          <w:highlight w:val="none"/>
        </w:rPr>
        <w:t>签订时间：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32"/>
          <w:szCs w:val="32"/>
          <w:highlight w:val="none"/>
        </w:rPr>
        <w:t>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32"/>
          <w:szCs w:val="32"/>
          <w:highlight w:val="none"/>
        </w:rPr>
        <w:t>月</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32"/>
          <w:szCs w:val="32"/>
          <w:highlight w:val="none"/>
        </w:rPr>
        <w:t>日</w:t>
      </w:r>
    </w:p>
    <w:p w14:paraId="65AEC32B">
      <w:pPr>
        <w:spacing w:line="360" w:lineRule="auto"/>
        <w:jc w:val="center"/>
        <w:outlineLvl w:val="9"/>
        <w:rPr>
          <w:rFonts w:hint="eastAsia" w:ascii="宋体" w:hAnsi="宋体" w:cs="宋体"/>
          <w:b/>
          <w:sz w:val="32"/>
          <w:szCs w:val="32"/>
          <w:highlight w:val="none"/>
        </w:rPr>
      </w:pPr>
      <w:r>
        <w:rPr>
          <w:rFonts w:hint="eastAsia" w:ascii="仿宋" w:hAnsi="仿宋" w:eastAsia="仿宋" w:cs="仿宋"/>
          <w:b/>
          <w:spacing w:val="23"/>
          <w:szCs w:val="32"/>
          <w:highlight w:val="none"/>
        </w:rPr>
        <w:br w:type="page"/>
      </w:r>
    </w:p>
    <w:p w14:paraId="5620EA7B">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采购人（以下简称甲方）：</w:t>
      </w:r>
    </w:p>
    <w:p w14:paraId="6A67021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供应商（以下简称乙方）：</w:t>
      </w:r>
    </w:p>
    <w:p w14:paraId="0E625562">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根据《中华人民共和国</w:t>
      </w:r>
      <w:r>
        <w:rPr>
          <w:rFonts w:hint="eastAsia" w:asciiTheme="minorEastAsia" w:hAnsiTheme="minorEastAsia" w:eastAsiaTheme="minorEastAsia" w:cstheme="minorEastAsia"/>
          <w:bCs/>
          <w:sz w:val="24"/>
          <w:szCs w:val="24"/>
          <w:highlight w:val="none"/>
          <w:lang w:eastAsia="zh-CN"/>
        </w:rPr>
        <w:t>民法典</w:t>
      </w:r>
      <w:r>
        <w:rPr>
          <w:rFonts w:hint="eastAsia" w:asciiTheme="minorEastAsia" w:hAnsiTheme="minorEastAsia" w:eastAsiaTheme="minorEastAsia" w:cstheme="minorEastAsia"/>
          <w:bCs/>
          <w:sz w:val="24"/>
          <w:szCs w:val="24"/>
          <w:highlight w:val="none"/>
        </w:rPr>
        <w:t>》、《中华人民共和国政府采购法》和《中华人民共和国建筑法》及其它有关法律、行政法规，为明确双方在施工过程中的权利、义务，经双方协商自愿签订本合同。</w:t>
      </w:r>
    </w:p>
    <w:p w14:paraId="3237CDC0">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工程项目</w:t>
      </w:r>
    </w:p>
    <w:p w14:paraId="06EB8CC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1.</w:t>
      </w:r>
      <w:r>
        <w:rPr>
          <w:rFonts w:hint="eastAsia" w:asciiTheme="minorEastAsia" w:hAnsiTheme="minorEastAsia" w:eastAsiaTheme="minorEastAsia" w:cstheme="minorEastAsia"/>
          <w:bCs/>
          <w:sz w:val="24"/>
          <w:szCs w:val="24"/>
          <w:highlight w:val="none"/>
        </w:rPr>
        <w:t>项目名称：</w:t>
      </w:r>
      <w:r>
        <w:rPr>
          <w:rFonts w:hint="eastAsia" w:asciiTheme="minorEastAsia" w:hAnsiTheme="minorEastAsia" w:eastAsiaTheme="minorEastAsia" w:cstheme="minorEastAsia"/>
          <w:bCs/>
          <w:sz w:val="24"/>
          <w:szCs w:val="24"/>
          <w:highlight w:val="none"/>
          <w:lang w:eastAsia="zh-CN"/>
        </w:rPr>
        <w:t>违法建设拆除工程项目</w:t>
      </w:r>
    </w:p>
    <w:p w14:paraId="2EA74C14">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2.</w:t>
      </w:r>
      <w:r>
        <w:rPr>
          <w:rFonts w:hint="eastAsia" w:asciiTheme="minorEastAsia" w:hAnsiTheme="minorEastAsia" w:eastAsiaTheme="minorEastAsia" w:cstheme="minorEastAsia"/>
          <w:bCs/>
          <w:sz w:val="24"/>
          <w:szCs w:val="24"/>
          <w:highlight w:val="none"/>
          <w:lang w:eastAsia="zh-CN"/>
        </w:rPr>
        <w:t>施工地点</w:t>
      </w:r>
      <w:r>
        <w:rPr>
          <w:rFonts w:hint="eastAsia" w:asciiTheme="minorEastAsia" w:hAnsiTheme="minorEastAsia" w:eastAsiaTheme="minorEastAsia" w:cstheme="minorEastAsia"/>
          <w:bCs/>
          <w:sz w:val="24"/>
          <w:szCs w:val="24"/>
          <w:highlight w:val="none"/>
        </w:rPr>
        <w:t>：</w:t>
      </w:r>
      <w:r>
        <w:rPr>
          <w:rFonts w:hint="eastAsia" w:asciiTheme="minorEastAsia" w:hAnsiTheme="minorEastAsia" w:eastAsiaTheme="minorEastAsia" w:cstheme="minorEastAsia"/>
          <w:bCs/>
          <w:sz w:val="24"/>
          <w:szCs w:val="24"/>
          <w:highlight w:val="none"/>
          <w:lang w:eastAsia="zh-CN"/>
        </w:rPr>
        <w:t>甲方</w:t>
      </w:r>
      <w:r>
        <w:rPr>
          <w:rFonts w:hint="eastAsia" w:asciiTheme="minorEastAsia" w:hAnsiTheme="minorEastAsia" w:eastAsiaTheme="minorEastAsia" w:cstheme="minorEastAsia"/>
          <w:bCs/>
          <w:sz w:val="24"/>
          <w:szCs w:val="24"/>
          <w:highlight w:val="none"/>
        </w:rPr>
        <w:t>指定地点</w:t>
      </w:r>
    </w:p>
    <w:p w14:paraId="04AE951E">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3.</w:t>
      </w:r>
      <w:r>
        <w:rPr>
          <w:rFonts w:hint="eastAsia" w:asciiTheme="minorEastAsia" w:hAnsiTheme="minorEastAsia" w:eastAsiaTheme="minorEastAsia" w:cstheme="minorEastAsia"/>
          <w:bCs/>
          <w:sz w:val="24"/>
          <w:szCs w:val="24"/>
          <w:highlight w:val="none"/>
        </w:rPr>
        <w:t>工程内容：</w:t>
      </w:r>
      <w:r>
        <w:rPr>
          <w:rFonts w:hint="eastAsia" w:asciiTheme="minorEastAsia" w:hAnsiTheme="minorEastAsia" w:eastAsiaTheme="minorEastAsia" w:cstheme="minorEastAsia"/>
          <w:bCs/>
          <w:sz w:val="24"/>
          <w:szCs w:val="24"/>
          <w:highlight w:val="none"/>
          <w:lang w:eastAsia="zh-CN"/>
        </w:rPr>
        <w:t>西安浐灞国际港区域违法建设、违法户外广告拆除工程</w:t>
      </w:r>
    </w:p>
    <w:p w14:paraId="467191AB">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val="en-US" w:eastAsia="zh-CN"/>
        </w:rPr>
        <w:t>4.合同价款：含税完全综合单价</w:t>
      </w:r>
    </w:p>
    <w:p w14:paraId="0389B03C">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第二条  施工依据</w:t>
      </w:r>
    </w:p>
    <w:p w14:paraId="64FCA9C4">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1.</w:t>
      </w:r>
      <w:r>
        <w:rPr>
          <w:rFonts w:hint="eastAsia" w:asciiTheme="minorEastAsia" w:hAnsiTheme="minorEastAsia" w:eastAsiaTheme="minorEastAsia" w:cstheme="minorEastAsia"/>
          <w:bCs/>
          <w:sz w:val="24"/>
          <w:szCs w:val="24"/>
          <w:highlight w:val="none"/>
        </w:rPr>
        <w:t>施工合同；</w:t>
      </w:r>
    </w:p>
    <w:p w14:paraId="099386A6">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2.中标</w:t>
      </w:r>
      <w:r>
        <w:rPr>
          <w:rFonts w:hint="eastAsia" w:asciiTheme="minorEastAsia" w:hAnsiTheme="minorEastAsia" w:eastAsiaTheme="minorEastAsia" w:cstheme="minorEastAsia"/>
          <w:bCs/>
          <w:sz w:val="24"/>
          <w:szCs w:val="24"/>
          <w:highlight w:val="none"/>
        </w:rPr>
        <w:t>通知书；</w:t>
      </w:r>
    </w:p>
    <w:p w14:paraId="7441F637">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3.公开招标文件、乙方投标</w:t>
      </w:r>
      <w:r>
        <w:rPr>
          <w:rFonts w:hint="eastAsia" w:asciiTheme="minorEastAsia" w:hAnsiTheme="minorEastAsia" w:eastAsiaTheme="minorEastAsia" w:cstheme="minorEastAsia"/>
          <w:bCs/>
          <w:sz w:val="24"/>
          <w:szCs w:val="24"/>
          <w:highlight w:val="none"/>
        </w:rPr>
        <w:t>文件及其附件；</w:t>
      </w:r>
    </w:p>
    <w:p w14:paraId="55F23117">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4.</w:t>
      </w:r>
      <w:r>
        <w:rPr>
          <w:rFonts w:hint="eastAsia" w:asciiTheme="minorEastAsia" w:hAnsiTheme="minorEastAsia" w:eastAsiaTheme="minorEastAsia" w:cstheme="minorEastAsia"/>
          <w:bCs/>
          <w:sz w:val="24"/>
          <w:szCs w:val="24"/>
          <w:highlight w:val="none"/>
        </w:rPr>
        <w:t>标准、规范及有关技术文件；</w:t>
      </w:r>
    </w:p>
    <w:p w14:paraId="4DED8076">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lang w:val="en-US" w:eastAsia="zh-CN"/>
        </w:rPr>
        <w:t>5.工程报价单；</w:t>
      </w:r>
    </w:p>
    <w:p w14:paraId="19C81A45">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6.</w:t>
      </w:r>
      <w:r>
        <w:rPr>
          <w:rFonts w:hint="eastAsia" w:asciiTheme="minorEastAsia" w:hAnsiTheme="minorEastAsia" w:eastAsiaTheme="minorEastAsia" w:cstheme="minorEastAsia"/>
          <w:bCs/>
          <w:sz w:val="24"/>
          <w:szCs w:val="24"/>
          <w:highlight w:val="none"/>
        </w:rPr>
        <w:t>双方有关工程的洽商、变更等书面协议或文件视为施工合同的组成部分。</w:t>
      </w:r>
    </w:p>
    <w:p w14:paraId="20BF5683">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第三条  工程期限</w:t>
      </w:r>
    </w:p>
    <w:p w14:paraId="59ED4381">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lang w:val="en-US" w:eastAsia="zh-CN"/>
        </w:rPr>
        <w:t>一、</w:t>
      </w:r>
      <w:r>
        <w:rPr>
          <w:rFonts w:hint="eastAsia" w:asciiTheme="minorEastAsia" w:hAnsiTheme="minorEastAsia" w:eastAsiaTheme="minorEastAsia" w:cstheme="minorEastAsia"/>
          <w:bCs/>
          <w:sz w:val="24"/>
          <w:szCs w:val="24"/>
          <w:highlight w:val="none"/>
        </w:rPr>
        <w:t>工期</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合同签订之日起一年。</w:t>
      </w:r>
    </w:p>
    <w:p w14:paraId="783F1836">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二、</w:t>
      </w:r>
      <w:r>
        <w:rPr>
          <w:rFonts w:hint="eastAsia" w:asciiTheme="minorEastAsia" w:hAnsiTheme="minorEastAsia" w:eastAsiaTheme="minorEastAsia" w:cstheme="minorEastAsia"/>
          <w:bCs/>
          <w:sz w:val="24"/>
          <w:szCs w:val="24"/>
          <w:highlight w:val="none"/>
        </w:rPr>
        <w:t>如遇下列情况，经甲方现场代表签证后，工期可相应顺延（顺延工期应由甲、乙双方共同签字确认）</w:t>
      </w:r>
    </w:p>
    <w:p w14:paraId="138661CB">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1.</w:t>
      </w:r>
      <w:r>
        <w:rPr>
          <w:rFonts w:hint="eastAsia" w:asciiTheme="minorEastAsia" w:hAnsiTheme="minorEastAsia" w:eastAsiaTheme="minorEastAsia" w:cstheme="minorEastAsia"/>
          <w:bCs/>
          <w:sz w:val="24"/>
          <w:szCs w:val="24"/>
          <w:highlight w:val="none"/>
        </w:rPr>
        <w:t>在施工中如因停电、停水</w:t>
      </w:r>
      <w:r>
        <w:rPr>
          <w:rFonts w:hint="eastAsia" w:asciiTheme="minorEastAsia" w:hAnsiTheme="minorEastAsia" w:eastAsiaTheme="minorEastAsia" w:cstheme="minorEastAsia"/>
          <w:bCs/>
          <w:sz w:val="24"/>
          <w:szCs w:val="24"/>
          <w:highlight w:val="none"/>
          <w:lang w:val="en-US" w:eastAsia="zh-CN"/>
        </w:rPr>
        <w:t>8</w:t>
      </w:r>
      <w:r>
        <w:rPr>
          <w:rFonts w:hint="eastAsia" w:asciiTheme="minorEastAsia" w:hAnsiTheme="minorEastAsia" w:eastAsiaTheme="minorEastAsia" w:cstheme="minorEastAsia"/>
          <w:bCs/>
          <w:sz w:val="24"/>
          <w:szCs w:val="24"/>
          <w:highlight w:val="none"/>
        </w:rPr>
        <w:t>小时以上或连续间歇性停水、停电</w:t>
      </w:r>
      <w:r>
        <w:rPr>
          <w:rFonts w:hint="eastAsia" w:asciiTheme="minorEastAsia" w:hAnsiTheme="minorEastAsia" w:eastAsiaTheme="minorEastAsia" w:cstheme="minorEastAsia"/>
          <w:bCs/>
          <w:sz w:val="24"/>
          <w:szCs w:val="24"/>
          <w:highlight w:val="none"/>
          <w:lang w:val="en-US" w:eastAsia="zh-CN"/>
        </w:rPr>
        <w:t>3</w:t>
      </w:r>
      <w:r>
        <w:rPr>
          <w:rFonts w:hint="eastAsia" w:asciiTheme="minorEastAsia" w:hAnsiTheme="minorEastAsia" w:eastAsiaTheme="minorEastAsia" w:cstheme="minorEastAsia"/>
          <w:bCs/>
          <w:sz w:val="24"/>
          <w:szCs w:val="24"/>
          <w:highlight w:val="none"/>
        </w:rPr>
        <w:t>天以上（每次连续</w:t>
      </w:r>
      <w:r>
        <w:rPr>
          <w:rFonts w:hint="eastAsia" w:asciiTheme="minorEastAsia" w:hAnsiTheme="minorEastAsia" w:eastAsiaTheme="minorEastAsia" w:cstheme="minorEastAsia"/>
          <w:bCs/>
          <w:sz w:val="24"/>
          <w:szCs w:val="24"/>
          <w:highlight w:val="none"/>
          <w:lang w:val="en-US" w:eastAsia="zh-CN"/>
        </w:rPr>
        <w:t>4</w:t>
      </w:r>
      <w:r>
        <w:rPr>
          <w:rFonts w:hint="eastAsia" w:asciiTheme="minorEastAsia" w:hAnsiTheme="minorEastAsia" w:eastAsiaTheme="minorEastAsia" w:cstheme="minorEastAsia"/>
          <w:bCs/>
          <w:sz w:val="24"/>
          <w:szCs w:val="24"/>
          <w:highlight w:val="none"/>
        </w:rPr>
        <w:t>小时以上），影响正常施工；停水停电2天以上；</w:t>
      </w:r>
    </w:p>
    <w:p w14:paraId="2AD5F58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2.</w:t>
      </w:r>
      <w:r>
        <w:rPr>
          <w:rFonts w:hint="eastAsia" w:asciiTheme="minorEastAsia" w:hAnsiTheme="minorEastAsia" w:eastAsiaTheme="minorEastAsia" w:cstheme="minorEastAsia"/>
          <w:bCs/>
          <w:sz w:val="24"/>
          <w:szCs w:val="24"/>
          <w:highlight w:val="none"/>
        </w:rPr>
        <w:t>遇阴雨天及不可抗力因素以及非</w:t>
      </w:r>
      <w:r>
        <w:rPr>
          <w:rFonts w:hint="eastAsia" w:asciiTheme="minorEastAsia" w:hAnsiTheme="minorEastAsia" w:eastAsiaTheme="minorEastAsia" w:cstheme="minorEastAsia"/>
          <w:bCs/>
          <w:sz w:val="24"/>
          <w:szCs w:val="24"/>
          <w:highlight w:val="none"/>
          <w:lang w:eastAsia="zh-CN"/>
        </w:rPr>
        <w:t>乙方</w:t>
      </w:r>
      <w:r>
        <w:rPr>
          <w:rFonts w:hint="eastAsia" w:asciiTheme="minorEastAsia" w:hAnsiTheme="minorEastAsia" w:eastAsiaTheme="minorEastAsia" w:cstheme="minorEastAsia"/>
          <w:bCs/>
          <w:sz w:val="24"/>
          <w:szCs w:val="24"/>
          <w:highlight w:val="none"/>
        </w:rPr>
        <w:t>施工因素影响；</w:t>
      </w:r>
    </w:p>
    <w:p w14:paraId="4AA13F94">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3.</w:t>
      </w:r>
      <w:r>
        <w:rPr>
          <w:rFonts w:hint="eastAsia" w:asciiTheme="minorEastAsia" w:hAnsiTheme="minorEastAsia" w:eastAsiaTheme="minorEastAsia" w:cstheme="minorEastAsia"/>
          <w:bCs/>
          <w:sz w:val="24"/>
          <w:szCs w:val="24"/>
          <w:highlight w:val="none"/>
        </w:rPr>
        <w:t>因人力不可抗拒的其他因素而延误工期。</w:t>
      </w:r>
    </w:p>
    <w:p w14:paraId="4910478A">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第四条  合同价款、结算及付款方式</w:t>
      </w:r>
    </w:p>
    <w:p w14:paraId="40EA61F1">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rPr>
        <w:t>1</w:t>
      </w:r>
      <w:r>
        <w:rPr>
          <w:rFonts w:hint="eastAsia" w:asciiTheme="minorEastAsia" w:hAnsiTheme="minorEastAsia" w:eastAsiaTheme="minorEastAsia" w:cstheme="minorEastAsia"/>
          <w:bCs/>
          <w:sz w:val="24"/>
          <w:szCs w:val="24"/>
          <w:highlight w:val="none"/>
          <w:lang w:val="en-US" w:eastAsia="zh-CN"/>
        </w:rPr>
        <w:t>.</w:t>
      </w:r>
      <w:r>
        <w:rPr>
          <w:rFonts w:hint="eastAsia" w:asciiTheme="minorEastAsia" w:hAnsiTheme="minorEastAsia" w:eastAsiaTheme="minorEastAsia" w:cstheme="minorEastAsia"/>
          <w:bCs/>
          <w:sz w:val="24"/>
          <w:szCs w:val="24"/>
          <w:highlight w:val="none"/>
        </w:rPr>
        <w:t>合同</w:t>
      </w:r>
      <w:r>
        <w:rPr>
          <w:rFonts w:hint="eastAsia" w:asciiTheme="minorEastAsia" w:hAnsiTheme="minorEastAsia" w:eastAsiaTheme="minorEastAsia" w:cstheme="minorEastAsia"/>
          <w:bCs/>
          <w:sz w:val="24"/>
          <w:szCs w:val="24"/>
          <w:highlight w:val="none"/>
          <w:lang w:val="en-US" w:eastAsia="zh-CN"/>
        </w:rPr>
        <w:t>总价（暂定）人民币（大写）</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lang w:val="en-US" w:eastAsia="zh-CN"/>
        </w:rPr>
        <w:t>元</w:t>
      </w:r>
    </w:p>
    <w:p w14:paraId="0B2A107D">
      <w:pPr>
        <w:pStyle w:val="4"/>
        <w:keepNext w:val="0"/>
        <w:keepLines w:val="0"/>
        <w:pageBreakBefore w:val="0"/>
        <w:widowControl w:val="0"/>
        <w:kinsoku/>
        <w:wordWrap/>
        <w:overflowPunct/>
        <w:topLinePunct w:val="0"/>
        <w:autoSpaceDE/>
        <w:autoSpaceDN/>
        <w:bidi w:val="0"/>
        <w:adjustRightInd/>
        <w:snapToGrid/>
        <w:spacing w:line="384" w:lineRule="auto"/>
        <w:ind w:firstLine="3360" w:firstLineChars="1400"/>
        <w:textAlignment w:val="auto"/>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（小写）：¥</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lang w:val="en-US" w:eastAsia="zh-CN"/>
        </w:rPr>
        <w:t>元</w:t>
      </w:r>
    </w:p>
    <w:p w14:paraId="7571EFF0">
      <w:pPr>
        <w:pStyle w:val="2"/>
        <w:numPr>
          <w:ilvl w:val="0"/>
          <w:numId w:val="0"/>
        </w:numPr>
        <w:ind w:firstLine="585" w:firstLineChars="0"/>
        <w:rPr>
          <w:rFonts w:hint="eastAsia" w:asciiTheme="minorEastAsia" w:hAnsiTheme="minorEastAsia" w:eastAsiaTheme="minorEastAsia" w:cstheme="minorEastAsia"/>
          <w:bCs/>
          <w:snapToGrid w:val="0"/>
          <w:color w:val="000000"/>
          <w:kern w:val="0"/>
          <w:sz w:val="24"/>
          <w:szCs w:val="24"/>
          <w:highlight w:val="none"/>
          <w:lang w:val="en-US" w:eastAsia="zh-CN" w:bidi="ar-SA"/>
        </w:rPr>
      </w:pPr>
      <w:r>
        <w:rPr>
          <w:rFonts w:hint="eastAsia" w:asciiTheme="minorEastAsia" w:hAnsiTheme="minorEastAsia" w:eastAsiaTheme="minorEastAsia" w:cstheme="minorEastAsia"/>
          <w:bCs/>
          <w:snapToGrid w:val="0"/>
          <w:color w:val="000000"/>
          <w:kern w:val="0"/>
          <w:sz w:val="24"/>
          <w:szCs w:val="24"/>
          <w:lang w:val="en-US" w:eastAsia="zh-CN" w:bidi="ar-SA"/>
        </w:rPr>
        <w:t>2.合同价款：含税完全综合单价</w:t>
      </w:r>
    </w:p>
    <w:p w14:paraId="73341064">
      <w:pPr>
        <w:pStyle w:val="5"/>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Theme="minorEastAsia" w:hAnsiTheme="minorEastAsia" w:eastAsiaTheme="minorEastAsia" w:cstheme="minorEastAsia"/>
          <w:bCs/>
          <w:snapToGrid w:val="0"/>
          <w:color w:val="000000"/>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本</w:t>
      </w:r>
      <w:r>
        <w:rPr>
          <w:rFonts w:hint="eastAsia" w:ascii="宋体" w:hAnsi="宋体" w:cs="宋体"/>
          <w:color w:val="auto"/>
          <w:sz w:val="24"/>
          <w:highlight w:val="none"/>
        </w:rPr>
        <w:t>合同价款</w:t>
      </w:r>
      <w:r>
        <w:rPr>
          <w:rFonts w:hint="eastAsia" w:ascii="宋体" w:hAnsi="宋体" w:cs="宋体"/>
          <w:color w:val="auto"/>
          <w:sz w:val="24"/>
          <w:highlight w:val="none"/>
          <w:lang w:eastAsia="zh-CN"/>
        </w:rPr>
        <w:t>为</w:t>
      </w:r>
      <w:r>
        <w:rPr>
          <w:rFonts w:hint="eastAsia" w:ascii="宋体" w:hAnsi="宋体" w:cs="宋体"/>
          <w:color w:val="auto"/>
          <w:sz w:val="24"/>
          <w:highlight w:val="none"/>
        </w:rPr>
        <w:t>含税完全综合单价</w:t>
      </w:r>
      <w:r>
        <w:rPr>
          <w:rFonts w:hint="eastAsia" w:ascii="宋体" w:hAnsi="宋体" w:cs="宋体"/>
          <w:color w:val="auto"/>
          <w:sz w:val="24"/>
          <w:highlight w:val="none"/>
          <w:lang w:eastAsia="zh-CN"/>
        </w:rPr>
        <w:t>，</w:t>
      </w:r>
      <w:r>
        <w:rPr>
          <w:rFonts w:hint="eastAsia" w:ascii="宋体" w:hAnsi="宋体" w:eastAsia="宋体" w:cs="宋体"/>
          <w:color w:val="auto"/>
          <w:kern w:val="0"/>
          <w:sz w:val="24"/>
          <w:szCs w:val="24"/>
          <w:highlight w:val="none"/>
          <w:lang w:val="en-US" w:eastAsia="zh-CN" w:bidi="ar-SA"/>
        </w:rPr>
        <w:t>包括但不限于以下内容：人工费、材料费、机械费、运输费、措施费、管理费、利润、税金、验收及风险等。不因任何因素调整。</w:t>
      </w:r>
      <w:r>
        <w:rPr>
          <w:rFonts w:hint="eastAsia" w:ascii="宋体" w:hAnsi="宋体" w:cs="宋体"/>
          <w:color w:val="auto"/>
          <w:sz w:val="24"/>
          <w:highlight w:val="none"/>
        </w:rPr>
        <w:t>最终根据实际工程量与</w:t>
      </w:r>
      <w:r>
        <w:rPr>
          <w:rFonts w:hint="eastAsia" w:ascii="宋体" w:hAnsi="宋体" w:eastAsia="宋体" w:cs="宋体"/>
          <w:color w:val="auto"/>
          <w:sz w:val="24"/>
          <w:highlight w:val="none"/>
          <w:lang w:val="en-US" w:eastAsia="zh-CN"/>
        </w:rPr>
        <w:t>成交</w:t>
      </w:r>
      <w:r>
        <w:rPr>
          <w:rFonts w:hint="eastAsia" w:ascii="宋体" w:hAnsi="宋体" w:cs="宋体"/>
          <w:color w:val="auto"/>
          <w:sz w:val="24"/>
          <w:highlight w:val="none"/>
        </w:rPr>
        <w:t>单价据实结算。</w:t>
      </w:r>
    </w:p>
    <w:tbl>
      <w:tblPr>
        <w:tblStyle w:val="6"/>
        <w:tblW w:w="501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166"/>
        <w:gridCol w:w="1888"/>
        <w:gridCol w:w="2550"/>
        <w:gridCol w:w="2068"/>
        <w:gridCol w:w="1111"/>
      </w:tblGrid>
      <w:tr w14:paraId="07BFE6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8" w:hRule="atLeast"/>
        </w:trPr>
        <w:tc>
          <w:tcPr>
            <w:tcW w:w="1107" w:type="pct"/>
            <w:tcBorders>
              <w:top w:val="single" w:color="000000" w:sz="4" w:space="0"/>
              <w:left w:val="single" w:color="000000" w:sz="4" w:space="0"/>
              <w:bottom w:val="single" w:color="000000" w:sz="4" w:space="0"/>
              <w:right w:val="single" w:color="000000" w:sz="4" w:space="0"/>
            </w:tcBorders>
            <w:noWrap w:val="0"/>
            <w:vAlign w:val="center"/>
          </w:tcPr>
          <w:p w14:paraId="2DC68DE7">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拆除</w:t>
            </w:r>
            <w:r>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t>内容</w:t>
            </w:r>
          </w:p>
        </w:tc>
        <w:tc>
          <w:tcPr>
            <w:tcW w:w="964" w:type="pct"/>
            <w:tcBorders>
              <w:top w:val="single" w:color="000000" w:sz="4" w:space="0"/>
              <w:left w:val="single" w:color="000000" w:sz="4" w:space="0"/>
              <w:bottom w:val="single" w:color="000000" w:sz="4" w:space="0"/>
              <w:right w:val="single" w:color="000000" w:sz="4" w:space="0"/>
            </w:tcBorders>
            <w:noWrap w:val="0"/>
            <w:vAlign w:val="center"/>
          </w:tcPr>
          <w:p w14:paraId="25AA5049">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t>结构类型</w:t>
            </w:r>
          </w:p>
        </w:tc>
        <w:tc>
          <w:tcPr>
            <w:tcW w:w="2522" w:type="dxa"/>
            <w:tcBorders>
              <w:top w:val="single" w:color="000000" w:sz="4" w:space="0"/>
              <w:left w:val="single" w:color="000000" w:sz="4" w:space="0"/>
              <w:bottom w:val="single" w:color="000000" w:sz="4" w:space="0"/>
              <w:right w:val="single" w:color="000000" w:sz="4" w:space="0"/>
            </w:tcBorders>
            <w:noWrap w:val="0"/>
            <w:vAlign w:val="center"/>
          </w:tcPr>
          <w:p w14:paraId="6CD7456B">
            <w:pPr>
              <w:snapToGrid/>
              <w:spacing w:before="0" w:beforeAutospacing="0" w:after="0" w:afterAutospacing="0" w:line="24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暂定工程量</w:t>
            </w:r>
          </w:p>
        </w:tc>
        <w:tc>
          <w:tcPr>
            <w:tcW w:w="2045" w:type="dxa"/>
            <w:tcBorders>
              <w:top w:val="single" w:color="000000" w:sz="4" w:space="0"/>
              <w:left w:val="single" w:color="000000" w:sz="4" w:space="0"/>
              <w:bottom w:val="single" w:color="000000" w:sz="4" w:space="0"/>
              <w:right w:val="single" w:color="000000" w:sz="4" w:space="0"/>
            </w:tcBorders>
            <w:noWrap w:val="0"/>
            <w:vAlign w:val="center"/>
          </w:tcPr>
          <w:p w14:paraId="5AB3B622">
            <w:pPr>
              <w:pStyle w:val="2"/>
              <w:numPr>
                <w:ilvl w:val="0"/>
                <w:numId w:val="0"/>
              </w:numPr>
              <w:rPr>
                <w:rFonts w:hint="eastAsia" w:asciiTheme="minorEastAsia" w:hAnsiTheme="minorEastAsia" w:eastAsiaTheme="minorEastAsia" w:cstheme="minorEastAsia"/>
                <w:bCs/>
                <w:snapToGrid w:val="0"/>
                <w:color w:val="000000"/>
                <w:kern w:val="0"/>
                <w:sz w:val="24"/>
                <w:szCs w:val="24"/>
                <w:highlight w:val="none"/>
                <w:lang w:val="en-US" w:eastAsia="zh-CN" w:bidi="ar-SA"/>
              </w:rPr>
            </w:pPr>
            <w:bookmarkStart w:id="0" w:name="_GoBack"/>
            <w:bookmarkEnd w:id="0"/>
            <w:r>
              <w:rPr>
                <w:rFonts w:hint="eastAsia" w:asciiTheme="minorEastAsia" w:hAnsiTheme="minorEastAsia" w:eastAsiaTheme="minorEastAsia" w:cstheme="minorEastAsia"/>
                <w:bCs/>
                <w:snapToGrid w:val="0"/>
                <w:color w:val="000000"/>
                <w:kern w:val="0"/>
                <w:sz w:val="24"/>
                <w:szCs w:val="24"/>
                <w:lang w:val="en-US" w:eastAsia="zh-CN" w:bidi="ar-SA"/>
              </w:rPr>
              <w:t>含税完全综合单价</w:t>
            </w:r>
          </w:p>
          <w:p w14:paraId="6DAFD12B">
            <w:pPr>
              <w:snapToGrid/>
              <w:spacing w:before="0" w:beforeAutospacing="0" w:after="0" w:afterAutospacing="0" w:line="24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03E0D722">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default"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备注</w:t>
            </w:r>
          </w:p>
        </w:tc>
      </w:tr>
      <w:tr w14:paraId="63EEFD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107" w:type="pct"/>
            <w:vMerge w:val="restart"/>
            <w:tcBorders>
              <w:top w:val="single" w:color="000000" w:sz="4" w:space="0"/>
              <w:left w:val="single" w:color="000000" w:sz="4" w:space="0"/>
              <w:right w:val="single" w:color="000000" w:sz="4" w:space="0"/>
            </w:tcBorders>
            <w:noWrap w:val="0"/>
            <w:vAlign w:val="center"/>
          </w:tcPr>
          <w:p w14:paraId="69A83F3B">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t>高空违建拆除</w:t>
            </w:r>
          </w:p>
        </w:tc>
        <w:tc>
          <w:tcPr>
            <w:tcW w:w="964" w:type="pct"/>
            <w:tcBorders>
              <w:top w:val="single" w:color="000000" w:sz="4" w:space="0"/>
              <w:left w:val="single" w:color="000000" w:sz="4" w:space="0"/>
              <w:bottom w:val="single" w:color="000000" w:sz="4" w:space="0"/>
              <w:right w:val="single" w:color="000000" w:sz="4" w:space="0"/>
            </w:tcBorders>
            <w:noWrap w:val="0"/>
            <w:vAlign w:val="bottom"/>
          </w:tcPr>
          <w:p w14:paraId="0B8C4AF2">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钢架</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3DBDA099">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900㎡</w:t>
            </w:r>
          </w:p>
        </w:tc>
        <w:tc>
          <w:tcPr>
            <w:tcW w:w="2045" w:type="dxa"/>
            <w:tcBorders>
              <w:top w:val="single" w:color="000000" w:sz="4" w:space="0"/>
              <w:left w:val="single" w:color="000000" w:sz="4" w:space="0"/>
              <w:bottom w:val="single" w:color="000000" w:sz="4" w:space="0"/>
              <w:right w:val="single" w:color="000000" w:sz="4" w:space="0"/>
            </w:tcBorders>
            <w:noWrap w:val="0"/>
            <w:vAlign w:val="bottom"/>
          </w:tcPr>
          <w:p w14:paraId="6E0669E1">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bottom"/>
          </w:tcPr>
          <w:p w14:paraId="5A4BB501">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54EBA9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107" w:type="pct"/>
            <w:vMerge w:val="continue"/>
            <w:tcBorders>
              <w:left w:val="single" w:color="000000" w:sz="4" w:space="0"/>
              <w:right w:val="single" w:color="000000" w:sz="4" w:space="0"/>
            </w:tcBorders>
            <w:noWrap w:val="0"/>
            <w:vAlign w:val="center"/>
          </w:tcPr>
          <w:p w14:paraId="194855BE">
            <w:pPr>
              <w:keepNext w:val="0"/>
              <w:keepLines w:val="0"/>
              <w:pageBreakBefore w:val="0"/>
              <w:wordWrap/>
              <w:overflowPunct/>
              <w:topLinePunct w:val="0"/>
              <w:bidi w:val="0"/>
              <w:snapToGrid/>
              <w:spacing w:before="0" w:beforeAutospacing="0" w:after="0" w:afterAutospacing="0" w:line="384" w:lineRule="auto"/>
              <w:ind w:firstLine="480" w:firstLineChars="200"/>
              <w:jc w:val="both"/>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p>
        </w:tc>
        <w:tc>
          <w:tcPr>
            <w:tcW w:w="964" w:type="pct"/>
            <w:tcBorders>
              <w:top w:val="single" w:color="000000" w:sz="4" w:space="0"/>
              <w:left w:val="single" w:color="000000" w:sz="4" w:space="0"/>
              <w:bottom w:val="single" w:color="000000" w:sz="4" w:space="0"/>
              <w:right w:val="single" w:color="000000" w:sz="4" w:space="0"/>
            </w:tcBorders>
            <w:noWrap w:val="0"/>
            <w:vAlign w:val="bottom"/>
          </w:tcPr>
          <w:p w14:paraId="01BDF231">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板房</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4DF7B033">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450㎡</w:t>
            </w:r>
          </w:p>
        </w:tc>
        <w:tc>
          <w:tcPr>
            <w:tcW w:w="2045" w:type="dxa"/>
            <w:tcBorders>
              <w:top w:val="single" w:color="000000" w:sz="4" w:space="0"/>
              <w:left w:val="single" w:color="000000" w:sz="4" w:space="0"/>
              <w:bottom w:val="single" w:color="000000" w:sz="4" w:space="0"/>
              <w:right w:val="single" w:color="000000" w:sz="4" w:space="0"/>
            </w:tcBorders>
            <w:noWrap w:val="0"/>
            <w:vAlign w:val="bottom"/>
          </w:tcPr>
          <w:p w14:paraId="65AAE793">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bottom"/>
          </w:tcPr>
          <w:p w14:paraId="3E395125">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02E7CE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107" w:type="pct"/>
            <w:vMerge w:val="continue"/>
            <w:tcBorders>
              <w:left w:val="single" w:color="000000" w:sz="4" w:space="0"/>
              <w:right w:val="single" w:color="000000" w:sz="4" w:space="0"/>
            </w:tcBorders>
            <w:noWrap w:val="0"/>
            <w:vAlign w:val="center"/>
          </w:tcPr>
          <w:p w14:paraId="2D9DAE67">
            <w:pPr>
              <w:keepNext w:val="0"/>
              <w:keepLines w:val="0"/>
              <w:pageBreakBefore w:val="0"/>
              <w:wordWrap/>
              <w:overflowPunct/>
              <w:topLinePunct w:val="0"/>
              <w:bidi w:val="0"/>
              <w:snapToGrid/>
              <w:spacing w:before="0" w:beforeAutospacing="0" w:after="0" w:afterAutospacing="0" w:line="384" w:lineRule="auto"/>
              <w:ind w:firstLine="480" w:firstLineChars="200"/>
              <w:jc w:val="both"/>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p>
        </w:tc>
        <w:tc>
          <w:tcPr>
            <w:tcW w:w="964" w:type="pct"/>
            <w:tcBorders>
              <w:top w:val="single" w:color="000000" w:sz="4" w:space="0"/>
              <w:left w:val="single" w:color="000000" w:sz="4" w:space="0"/>
              <w:bottom w:val="single" w:color="000000" w:sz="4" w:space="0"/>
              <w:right w:val="single" w:color="000000" w:sz="4" w:space="0"/>
            </w:tcBorders>
            <w:noWrap w:val="0"/>
            <w:vAlign w:val="bottom"/>
          </w:tcPr>
          <w:p w14:paraId="0EF152DD">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砖混</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30979129">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540㎡</w:t>
            </w:r>
          </w:p>
        </w:tc>
        <w:tc>
          <w:tcPr>
            <w:tcW w:w="2045" w:type="dxa"/>
            <w:tcBorders>
              <w:top w:val="single" w:color="000000" w:sz="4" w:space="0"/>
              <w:left w:val="single" w:color="000000" w:sz="4" w:space="0"/>
              <w:bottom w:val="single" w:color="000000" w:sz="4" w:space="0"/>
              <w:right w:val="single" w:color="000000" w:sz="4" w:space="0"/>
            </w:tcBorders>
            <w:noWrap w:val="0"/>
            <w:vAlign w:val="bottom"/>
          </w:tcPr>
          <w:p w14:paraId="468D5A7B">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bottom"/>
          </w:tcPr>
          <w:p w14:paraId="7D139DF4">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1498E6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107" w:type="pct"/>
            <w:vMerge w:val="continue"/>
            <w:tcBorders>
              <w:left w:val="single" w:color="000000" w:sz="4" w:space="0"/>
              <w:right w:val="single" w:color="000000" w:sz="4" w:space="0"/>
            </w:tcBorders>
            <w:noWrap w:val="0"/>
            <w:vAlign w:val="center"/>
          </w:tcPr>
          <w:p w14:paraId="7B97F592">
            <w:pPr>
              <w:keepNext w:val="0"/>
              <w:keepLines w:val="0"/>
              <w:pageBreakBefore w:val="0"/>
              <w:wordWrap/>
              <w:overflowPunct/>
              <w:topLinePunct w:val="0"/>
              <w:bidi w:val="0"/>
              <w:snapToGrid/>
              <w:spacing w:before="0" w:beforeAutospacing="0" w:after="0" w:afterAutospacing="0" w:line="384" w:lineRule="auto"/>
              <w:ind w:firstLine="480" w:firstLineChars="200"/>
              <w:jc w:val="both"/>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p>
        </w:tc>
        <w:tc>
          <w:tcPr>
            <w:tcW w:w="964" w:type="pct"/>
            <w:tcBorders>
              <w:top w:val="single" w:color="000000" w:sz="4" w:space="0"/>
              <w:left w:val="single" w:color="000000" w:sz="4" w:space="0"/>
              <w:bottom w:val="single" w:color="000000" w:sz="4" w:space="0"/>
              <w:right w:val="single" w:color="000000" w:sz="4" w:space="0"/>
            </w:tcBorders>
            <w:noWrap w:val="0"/>
            <w:vAlign w:val="bottom"/>
          </w:tcPr>
          <w:p w14:paraId="69BA8021">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木质</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47D704E1">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180㎡</w:t>
            </w:r>
          </w:p>
        </w:tc>
        <w:tc>
          <w:tcPr>
            <w:tcW w:w="2045" w:type="dxa"/>
            <w:tcBorders>
              <w:top w:val="single" w:color="000000" w:sz="4" w:space="0"/>
              <w:left w:val="single" w:color="000000" w:sz="4" w:space="0"/>
              <w:bottom w:val="single" w:color="000000" w:sz="4" w:space="0"/>
              <w:right w:val="single" w:color="000000" w:sz="4" w:space="0"/>
            </w:tcBorders>
            <w:noWrap w:val="0"/>
            <w:vAlign w:val="bottom"/>
          </w:tcPr>
          <w:p w14:paraId="07DDA528">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bottom"/>
          </w:tcPr>
          <w:p w14:paraId="0874392F">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7D5D24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107" w:type="pct"/>
            <w:vMerge w:val="continue"/>
            <w:tcBorders>
              <w:left w:val="single" w:color="000000" w:sz="4" w:space="0"/>
              <w:bottom w:val="single" w:color="000000" w:sz="4" w:space="0"/>
              <w:right w:val="single" w:color="000000" w:sz="4" w:space="0"/>
            </w:tcBorders>
            <w:noWrap w:val="0"/>
            <w:vAlign w:val="center"/>
          </w:tcPr>
          <w:p w14:paraId="068B73B8">
            <w:pPr>
              <w:keepNext w:val="0"/>
              <w:keepLines w:val="0"/>
              <w:pageBreakBefore w:val="0"/>
              <w:wordWrap/>
              <w:overflowPunct/>
              <w:topLinePunct w:val="0"/>
              <w:bidi w:val="0"/>
              <w:snapToGrid/>
              <w:spacing w:before="0" w:beforeAutospacing="0" w:after="0" w:afterAutospacing="0" w:line="384" w:lineRule="auto"/>
              <w:ind w:firstLine="480" w:firstLineChars="200"/>
              <w:jc w:val="both"/>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p>
        </w:tc>
        <w:tc>
          <w:tcPr>
            <w:tcW w:w="964" w:type="pct"/>
            <w:tcBorders>
              <w:top w:val="single" w:color="000000" w:sz="4" w:space="0"/>
              <w:left w:val="single" w:color="000000" w:sz="4" w:space="0"/>
              <w:bottom w:val="single" w:color="000000" w:sz="4" w:space="0"/>
              <w:right w:val="single" w:color="000000" w:sz="4" w:space="0"/>
            </w:tcBorders>
            <w:noWrap w:val="0"/>
            <w:vAlign w:val="bottom"/>
          </w:tcPr>
          <w:p w14:paraId="334FF3A3">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户外广告</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7FE7AFBD">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150㎡</w:t>
            </w:r>
          </w:p>
        </w:tc>
        <w:tc>
          <w:tcPr>
            <w:tcW w:w="2045" w:type="dxa"/>
            <w:tcBorders>
              <w:top w:val="single" w:color="000000" w:sz="4" w:space="0"/>
              <w:left w:val="single" w:color="000000" w:sz="4" w:space="0"/>
              <w:bottom w:val="single" w:color="000000" w:sz="4" w:space="0"/>
              <w:right w:val="single" w:color="000000" w:sz="4" w:space="0"/>
            </w:tcBorders>
            <w:noWrap w:val="0"/>
            <w:vAlign w:val="bottom"/>
          </w:tcPr>
          <w:p w14:paraId="17E54714">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bottom"/>
          </w:tcPr>
          <w:p w14:paraId="10211ED4">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79AE62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107" w:type="pct"/>
            <w:vMerge w:val="restart"/>
            <w:tcBorders>
              <w:top w:val="single" w:color="000000" w:sz="4" w:space="0"/>
              <w:left w:val="single" w:color="000000" w:sz="4" w:space="0"/>
              <w:right w:val="single" w:color="000000" w:sz="4" w:space="0"/>
            </w:tcBorders>
            <w:noWrap w:val="0"/>
            <w:vAlign w:val="center"/>
          </w:tcPr>
          <w:p w14:paraId="4C86003A">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p>
          <w:p w14:paraId="061C7F5A">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t>地面违建拆除</w:t>
            </w:r>
          </w:p>
        </w:tc>
        <w:tc>
          <w:tcPr>
            <w:tcW w:w="964" w:type="pct"/>
            <w:tcBorders>
              <w:top w:val="single" w:color="000000" w:sz="4" w:space="0"/>
              <w:left w:val="single" w:color="000000" w:sz="4" w:space="0"/>
              <w:bottom w:val="single" w:color="000000" w:sz="4" w:space="0"/>
              <w:right w:val="single" w:color="000000" w:sz="4" w:space="0"/>
            </w:tcBorders>
            <w:noWrap w:val="0"/>
            <w:vAlign w:val="bottom"/>
          </w:tcPr>
          <w:p w14:paraId="5E8364D1">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钢架</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69FEDD14">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450㎡</w:t>
            </w:r>
          </w:p>
        </w:tc>
        <w:tc>
          <w:tcPr>
            <w:tcW w:w="2045" w:type="dxa"/>
            <w:tcBorders>
              <w:top w:val="single" w:color="000000" w:sz="4" w:space="0"/>
              <w:left w:val="single" w:color="000000" w:sz="4" w:space="0"/>
              <w:bottom w:val="single" w:color="000000" w:sz="4" w:space="0"/>
              <w:right w:val="single" w:color="000000" w:sz="4" w:space="0"/>
            </w:tcBorders>
            <w:noWrap w:val="0"/>
            <w:vAlign w:val="bottom"/>
          </w:tcPr>
          <w:p w14:paraId="425E5E8E">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bottom"/>
          </w:tcPr>
          <w:p w14:paraId="413944F4">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0D298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107" w:type="pct"/>
            <w:vMerge w:val="continue"/>
            <w:tcBorders>
              <w:left w:val="single" w:color="000000" w:sz="4" w:space="0"/>
              <w:right w:val="single" w:color="000000" w:sz="4" w:space="0"/>
            </w:tcBorders>
            <w:noWrap w:val="0"/>
            <w:vAlign w:val="center"/>
          </w:tcPr>
          <w:p w14:paraId="40B2A4A5">
            <w:pPr>
              <w:keepNext w:val="0"/>
              <w:keepLines w:val="0"/>
              <w:pageBreakBefore w:val="0"/>
              <w:wordWrap/>
              <w:overflowPunct/>
              <w:topLinePunct w:val="0"/>
              <w:bidi w:val="0"/>
              <w:snapToGrid/>
              <w:spacing w:before="0" w:beforeAutospacing="0" w:after="0" w:afterAutospacing="0" w:line="384" w:lineRule="auto"/>
              <w:ind w:firstLine="480" w:firstLineChars="200"/>
              <w:jc w:val="both"/>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p>
        </w:tc>
        <w:tc>
          <w:tcPr>
            <w:tcW w:w="964" w:type="pct"/>
            <w:tcBorders>
              <w:top w:val="single" w:color="000000" w:sz="4" w:space="0"/>
              <w:left w:val="single" w:color="000000" w:sz="4" w:space="0"/>
              <w:bottom w:val="single" w:color="000000" w:sz="4" w:space="0"/>
              <w:right w:val="single" w:color="000000" w:sz="4" w:space="0"/>
            </w:tcBorders>
            <w:noWrap w:val="0"/>
            <w:vAlign w:val="bottom"/>
          </w:tcPr>
          <w:p w14:paraId="0394A6A8">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砖混</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2286D8C1">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450㎡</w:t>
            </w:r>
          </w:p>
        </w:tc>
        <w:tc>
          <w:tcPr>
            <w:tcW w:w="2045" w:type="dxa"/>
            <w:tcBorders>
              <w:top w:val="single" w:color="000000" w:sz="4" w:space="0"/>
              <w:left w:val="single" w:color="000000" w:sz="4" w:space="0"/>
              <w:bottom w:val="single" w:color="000000" w:sz="4" w:space="0"/>
              <w:right w:val="single" w:color="000000" w:sz="4" w:space="0"/>
            </w:tcBorders>
            <w:noWrap w:val="0"/>
            <w:vAlign w:val="bottom"/>
          </w:tcPr>
          <w:p w14:paraId="641EF31D">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bottom"/>
          </w:tcPr>
          <w:p w14:paraId="2925DED2">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745DC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107" w:type="pct"/>
            <w:vMerge w:val="continue"/>
            <w:tcBorders>
              <w:left w:val="single" w:color="000000" w:sz="4" w:space="0"/>
              <w:right w:val="single" w:color="000000" w:sz="4" w:space="0"/>
            </w:tcBorders>
            <w:noWrap w:val="0"/>
            <w:vAlign w:val="center"/>
          </w:tcPr>
          <w:p w14:paraId="450D056F">
            <w:pPr>
              <w:keepNext w:val="0"/>
              <w:keepLines w:val="0"/>
              <w:pageBreakBefore w:val="0"/>
              <w:wordWrap/>
              <w:overflowPunct/>
              <w:topLinePunct w:val="0"/>
              <w:bidi w:val="0"/>
              <w:snapToGrid/>
              <w:spacing w:before="0" w:beforeAutospacing="0" w:after="0" w:afterAutospacing="0" w:line="384" w:lineRule="auto"/>
              <w:ind w:firstLine="480" w:firstLineChars="200"/>
              <w:jc w:val="both"/>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p>
        </w:tc>
        <w:tc>
          <w:tcPr>
            <w:tcW w:w="964" w:type="pct"/>
            <w:tcBorders>
              <w:top w:val="single" w:color="000000" w:sz="4" w:space="0"/>
              <w:left w:val="single" w:color="000000" w:sz="4" w:space="0"/>
              <w:bottom w:val="single" w:color="000000" w:sz="4" w:space="0"/>
              <w:right w:val="single" w:color="000000" w:sz="4" w:space="0"/>
            </w:tcBorders>
            <w:noWrap w:val="0"/>
            <w:vAlign w:val="bottom"/>
          </w:tcPr>
          <w:p w14:paraId="54B43BD6">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简易房</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03B8FAD3">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450㎡</w:t>
            </w:r>
          </w:p>
        </w:tc>
        <w:tc>
          <w:tcPr>
            <w:tcW w:w="2045" w:type="dxa"/>
            <w:tcBorders>
              <w:top w:val="single" w:color="000000" w:sz="4" w:space="0"/>
              <w:left w:val="single" w:color="000000" w:sz="4" w:space="0"/>
              <w:bottom w:val="single" w:color="000000" w:sz="4" w:space="0"/>
              <w:right w:val="single" w:color="000000" w:sz="4" w:space="0"/>
            </w:tcBorders>
            <w:noWrap w:val="0"/>
            <w:vAlign w:val="bottom"/>
          </w:tcPr>
          <w:p w14:paraId="4BA8A099">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bottom"/>
          </w:tcPr>
          <w:p w14:paraId="18EE3272">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32BF24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107" w:type="pct"/>
            <w:vMerge w:val="continue"/>
            <w:tcBorders>
              <w:left w:val="single" w:color="000000" w:sz="4" w:space="0"/>
              <w:right w:val="single" w:color="000000" w:sz="4" w:space="0"/>
            </w:tcBorders>
            <w:noWrap w:val="0"/>
            <w:vAlign w:val="center"/>
          </w:tcPr>
          <w:p w14:paraId="18EE4FCC">
            <w:pPr>
              <w:keepNext w:val="0"/>
              <w:keepLines w:val="0"/>
              <w:pageBreakBefore w:val="0"/>
              <w:wordWrap/>
              <w:overflowPunct/>
              <w:topLinePunct w:val="0"/>
              <w:bidi w:val="0"/>
              <w:snapToGrid/>
              <w:spacing w:before="0" w:beforeAutospacing="0" w:after="0" w:afterAutospacing="0" w:line="384" w:lineRule="auto"/>
              <w:ind w:firstLine="480" w:firstLineChars="200"/>
              <w:jc w:val="both"/>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p>
        </w:tc>
        <w:tc>
          <w:tcPr>
            <w:tcW w:w="964" w:type="pct"/>
            <w:tcBorders>
              <w:top w:val="single" w:color="000000" w:sz="4" w:space="0"/>
              <w:left w:val="single" w:color="000000" w:sz="4" w:space="0"/>
              <w:bottom w:val="single" w:color="000000" w:sz="4" w:space="0"/>
              <w:right w:val="single" w:color="000000" w:sz="4" w:space="0"/>
            </w:tcBorders>
            <w:noWrap w:val="0"/>
            <w:vAlign w:val="bottom"/>
          </w:tcPr>
          <w:p w14:paraId="59627D55">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玻璃房</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16EAC643">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270㎡</w:t>
            </w:r>
          </w:p>
        </w:tc>
        <w:tc>
          <w:tcPr>
            <w:tcW w:w="2045" w:type="dxa"/>
            <w:tcBorders>
              <w:top w:val="single" w:color="000000" w:sz="4" w:space="0"/>
              <w:left w:val="single" w:color="000000" w:sz="4" w:space="0"/>
              <w:bottom w:val="single" w:color="000000" w:sz="4" w:space="0"/>
              <w:right w:val="single" w:color="000000" w:sz="4" w:space="0"/>
            </w:tcBorders>
            <w:noWrap w:val="0"/>
            <w:vAlign w:val="bottom"/>
          </w:tcPr>
          <w:p w14:paraId="457EB405">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bottom"/>
          </w:tcPr>
          <w:p w14:paraId="6EF17AC9">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7684B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107" w:type="pct"/>
            <w:vMerge w:val="continue"/>
            <w:tcBorders>
              <w:left w:val="single" w:color="000000" w:sz="4" w:space="0"/>
              <w:bottom w:val="single" w:color="000000" w:sz="4" w:space="0"/>
              <w:right w:val="single" w:color="000000" w:sz="4" w:space="0"/>
            </w:tcBorders>
            <w:noWrap w:val="0"/>
            <w:vAlign w:val="center"/>
          </w:tcPr>
          <w:p w14:paraId="778D07AA">
            <w:pPr>
              <w:keepNext w:val="0"/>
              <w:keepLines w:val="0"/>
              <w:pageBreakBefore w:val="0"/>
              <w:wordWrap/>
              <w:overflowPunct/>
              <w:topLinePunct w:val="0"/>
              <w:bidi w:val="0"/>
              <w:snapToGrid/>
              <w:spacing w:before="0" w:beforeAutospacing="0" w:after="0" w:afterAutospacing="0" w:line="384" w:lineRule="auto"/>
              <w:ind w:firstLine="480" w:firstLineChars="200"/>
              <w:jc w:val="both"/>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p>
        </w:tc>
        <w:tc>
          <w:tcPr>
            <w:tcW w:w="964" w:type="pct"/>
            <w:tcBorders>
              <w:top w:val="single" w:color="000000" w:sz="4" w:space="0"/>
              <w:left w:val="single" w:color="000000" w:sz="4" w:space="0"/>
              <w:bottom w:val="single" w:color="000000" w:sz="4" w:space="0"/>
              <w:right w:val="single" w:color="000000" w:sz="4" w:space="0"/>
            </w:tcBorders>
            <w:noWrap w:val="0"/>
            <w:vAlign w:val="bottom"/>
          </w:tcPr>
          <w:p w14:paraId="2E2241D0">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户外广告</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5716B5F7">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150㎡</w:t>
            </w:r>
          </w:p>
        </w:tc>
        <w:tc>
          <w:tcPr>
            <w:tcW w:w="2045" w:type="dxa"/>
            <w:tcBorders>
              <w:top w:val="single" w:color="000000" w:sz="4" w:space="0"/>
              <w:left w:val="single" w:color="000000" w:sz="4" w:space="0"/>
              <w:bottom w:val="single" w:color="000000" w:sz="4" w:space="0"/>
              <w:right w:val="single" w:color="000000" w:sz="4" w:space="0"/>
            </w:tcBorders>
            <w:noWrap w:val="0"/>
            <w:vAlign w:val="bottom"/>
          </w:tcPr>
          <w:p w14:paraId="07EA3CF7">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bottom"/>
          </w:tcPr>
          <w:p w14:paraId="60F82EA7">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204D49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107" w:type="pct"/>
            <w:vMerge w:val="restart"/>
            <w:tcBorders>
              <w:top w:val="single" w:color="000000" w:sz="4" w:space="0"/>
              <w:left w:val="single" w:color="000000" w:sz="4" w:space="0"/>
              <w:bottom w:val="single" w:color="000000" w:sz="4" w:space="0"/>
              <w:right w:val="single" w:color="000000" w:sz="4" w:space="0"/>
            </w:tcBorders>
            <w:noWrap w:val="0"/>
            <w:vAlign w:val="center"/>
          </w:tcPr>
          <w:p w14:paraId="50E7E63B">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厂房违建拆除</w:t>
            </w:r>
          </w:p>
        </w:tc>
        <w:tc>
          <w:tcPr>
            <w:tcW w:w="964" w:type="pct"/>
            <w:tcBorders>
              <w:top w:val="single" w:color="000000" w:sz="4" w:space="0"/>
              <w:left w:val="single" w:color="000000" w:sz="4" w:space="0"/>
              <w:bottom w:val="single" w:color="000000" w:sz="4" w:space="0"/>
              <w:right w:val="single" w:color="000000" w:sz="4" w:space="0"/>
            </w:tcBorders>
            <w:noWrap w:val="0"/>
            <w:vAlign w:val="bottom"/>
          </w:tcPr>
          <w:p w14:paraId="49D8EA61">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钢架</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706ED3D4">
            <w:pPr>
              <w:snapToGrid/>
              <w:spacing w:before="0" w:beforeAutospacing="0" w:after="0" w:afterAutospacing="0" w:line="360" w:lineRule="auto"/>
              <w:jc w:val="center"/>
              <w:textAlignment w:val="baseline"/>
              <w:rPr>
                <w:rFonts w:hint="default"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899㎡</w:t>
            </w:r>
          </w:p>
        </w:tc>
        <w:tc>
          <w:tcPr>
            <w:tcW w:w="2045" w:type="dxa"/>
            <w:tcBorders>
              <w:top w:val="single" w:color="000000" w:sz="4" w:space="0"/>
              <w:left w:val="single" w:color="000000" w:sz="4" w:space="0"/>
              <w:bottom w:val="single" w:color="000000" w:sz="4" w:space="0"/>
              <w:right w:val="single" w:color="000000" w:sz="4" w:space="0"/>
            </w:tcBorders>
            <w:noWrap w:val="0"/>
            <w:vAlign w:val="bottom"/>
          </w:tcPr>
          <w:p w14:paraId="6C783802">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bottom"/>
          </w:tcPr>
          <w:p w14:paraId="63648ADB">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05691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10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9E5919">
            <w:pPr>
              <w:keepNext w:val="0"/>
              <w:keepLines w:val="0"/>
              <w:pageBreakBefore w:val="0"/>
              <w:wordWrap/>
              <w:overflowPunct/>
              <w:topLinePunct w:val="0"/>
              <w:bidi w:val="0"/>
              <w:snapToGrid/>
              <w:spacing w:before="0" w:beforeAutospacing="0" w:after="0" w:afterAutospacing="0" w:line="384" w:lineRule="auto"/>
              <w:ind w:firstLine="480" w:firstLineChars="200"/>
              <w:jc w:val="both"/>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p>
        </w:tc>
        <w:tc>
          <w:tcPr>
            <w:tcW w:w="964" w:type="pct"/>
            <w:tcBorders>
              <w:top w:val="single" w:color="000000" w:sz="4" w:space="0"/>
              <w:left w:val="single" w:color="000000" w:sz="4" w:space="0"/>
              <w:bottom w:val="single" w:color="000000" w:sz="4" w:space="0"/>
              <w:right w:val="single" w:color="000000" w:sz="4" w:space="0"/>
            </w:tcBorders>
            <w:noWrap w:val="0"/>
            <w:vAlign w:val="bottom"/>
          </w:tcPr>
          <w:p w14:paraId="1562D187">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砖混</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177D6EDA">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450㎡</w:t>
            </w:r>
          </w:p>
        </w:tc>
        <w:tc>
          <w:tcPr>
            <w:tcW w:w="2045" w:type="dxa"/>
            <w:tcBorders>
              <w:top w:val="single" w:color="000000" w:sz="4" w:space="0"/>
              <w:left w:val="single" w:color="000000" w:sz="4" w:space="0"/>
              <w:bottom w:val="single" w:color="000000" w:sz="4" w:space="0"/>
              <w:right w:val="single" w:color="000000" w:sz="4" w:space="0"/>
            </w:tcBorders>
            <w:noWrap w:val="0"/>
            <w:vAlign w:val="bottom"/>
          </w:tcPr>
          <w:p w14:paraId="66B626F0">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bottom"/>
          </w:tcPr>
          <w:p w14:paraId="26D541C7">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173048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10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F256A0">
            <w:pPr>
              <w:keepNext w:val="0"/>
              <w:keepLines w:val="0"/>
              <w:pageBreakBefore w:val="0"/>
              <w:wordWrap/>
              <w:overflowPunct/>
              <w:topLinePunct w:val="0"/>
              <w:bidi w:val="0"/>
              <w:snapToGrid/>
              <w:spacing w:before="0" w:beforeAutospacing="0" w:after="0" w:afterAutospacing="0" w:line="384" w:lineRule="auto"/>
              <w:ind w:firstLine="480" w:firstLineChars="200"/>
              <w:jc w:val="both"/>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p>
        </w:tc>
        <w:tc>
          <w:tcPr>
            <w:tcW w:w="964" w:type="pct"/>
            <w:tcBorders>
              <w:top w:val="single" w:color="000000" w:sz="4" w:space="0"/>
              <w:left w:val="single" w:color="000000" w:sz="4" w:space="0"/>
              <w:bottom w:val="single" w:color="000000" w:sz="4" w:space="0"/>
              <w:right w:val="single" w:color="000000" w:sz="4" w:space="0"/>
            </w:tcBorders>
            <w:noWrap w:val="0"/>
            <w:vAlign w:val="bottom"/>
          </w:tcPr>
          <w:p w14:paraId="17B37B8C">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活动板房</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bottom"/>
          </w:tcPr>
          <w:p w14:paraId="4ED3FCB8">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722㎡</w:t>
            </w:r>
          </w:p>
        </w:tc>
        <w:tc>
          <w:tcPr>
            <w:tcW w:w="2045" w:type="dxa"/>
            <w:tcBorders>
              <w:top w:val="single" w:color="000000" w:sz="4" w:space="0"/>
              <w:left w:val="single" w:color="000000" w:sz="4" w:space="0"/>
              <w:bottom w:val="single" w:color="000000" w:sz="4" w:space="0"/>
              <w:right w:val="single" w:color="000000" w:sz="4" w:space="0"/>
            </w:tcBorders>
            <w:noWrap w:val="0"/>
            <w:vAlign w:val="bottom"/>
          </w:tcPr>
          <w:p w14:paraId="3575C594">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bottom"/>
          </w:tcPr>
          <w:p w14:paraId="304D10B9">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5C1C88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2" w:hRule="atLeast"/>
        </w:trPr>
        <w:tc>
          <w:tcPr>
            <w:tcW w:w="2072" w:type="pct"/>
            <w:gridSpan w:val="2"/>
            <w:tcBorders>
              <w:top w:val="single" w:color="000000" w:sz="4" w:space="0"/>
              <w:left w:val="single" w:color="000000" w:sz="4" w:space="0"/>
              <w:bottom w:val="single" w:color="000000" w:sz="4" w:space="0"/>
              <w:right w:val="single" w:color="000000" w:sz="4" w:space="0"/>
            </w:tcBorders>
            <w:noWrap w:val="0"/>
            <w:vAlign w:val="center"/>
          </w:tcPr>
          <w:p w14:paraId="1CABBFF4">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default"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夹层违建拆除</w:t>
            </w:r>
          </w:p>
          <w:p w14:paraId="191CA395">
            <w:pPr>
              <w:keepNext w:val="0"/>
              <w:keepLines w:val="0"/>
              <w:pageBreakBefore w:val="0"/>
              <w:wordWrap/>
              <w:overflowPunct/>
              <w:topLinePunct w:val="0"/>
              <w:bidi w:val="0"/>
              <w:snapToGrid/>
              <w:spacing w:before="0" w:beforeAutospacing="0" w:after="0" w:afterAutospacing="0" w:line="384" w:lineRule="auto"/>
              <w:ind w:firstLine="480" w:firstLineChars="200"/>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（两层及两层以上）</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E0235A7">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400㎡</w:t>
            </w:r>
          </w:p>
        </w:tc>
        <w:tc>
          <w:tcPr>
            <w:tcW w:w="2045" w:type="dxa"/>
            <w:tcBorders>
              <w:top w:val="single" w:color="000000" w:sz="4" w:space="0"/>
              <w:left w:val="single" w:color="000000" w:sz="4" w:space="0"/>
              <w:bottom w:val="single" w:color="000000" w:sz="4" w:space="0"/>
              <w:right w:val="single" w:color="000000" w:sz="4" w:space="0"/>
            </w:tcBorders>
            <w:noWrap w:val="0"/>
            <w:vAlign w:val="center"/>
          </w:tcPr>
          <w:p w14:paraId="682FB0B6">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389D490F">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62CBFA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107" w:type="pct"/>
            <w:vMerge w:val="restart"/>
            <w:tcBorders>
              <w:top w:val="single" w:color="000000" w:sz="4" w:space="0"/>
              <w:left w:val="single" w:color="000000" w:sz="4" w:space="0"/>
              <w:bottom w:val="single" w:color="000000" w:sz="4" w:space="0"/>
              <w:right w:val="single" w:color="000000" w:sz="4" w:space="0"/>
            </w:tcBorders>
            <w:noWrap w:val="0"/>
            <w:vAlign w:val="center"/>
          </w:tcPr>
          <w:p w14:paraId="36E230CE">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机械</w:t>
            </w:r>
          </w:p>
        </w:tc>
        <w:tc>
          <w:tcPr>
            <w:tcW w:w="964" w:type="pct"/>
            <w:tcBorders>
              <w:top w:val="single" w:color="000000" w:sz="4" w:space="0"/>
              <w:left w:val="single" w:color="000000" w:sz="4" w:space="0"/>
              <w:bottom w:val="single" w:color="000000" w:sz="4" w:space="0"/>
              <w:right w:val="single" w:color="000000" w:sz="4" w:space="0"/>
            </w:tcBorders>
            <w:noWrap w:val="0"/>
            <w:vAlign w:val="center"/>
          </w:tcPr>
          <w:p w14:paraId="0C87BEA5">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挖掘机（270）</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3D2631A">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310台班</w:t>
            </w:r>
          </w:p>
        </w:tc>
        <w:tc>
          <w:tcPr>
            <w:tcW w:w="2045" w:type="dxa"/>
            <w:tcBorders>
              <w:top w:val="single" w:color="000000" w:sz="4" w:space="0"/>
              <w:left w:val="single" w:color="000000" w:sz="4" w:space="0"/>
              <w:bottom w:val="single" w:color="000000" w:sz="4" w:space="0"/>
              <w:right w:val="single" w:color="000000" w:sz="4" w:space="0"/>
            </w:tcBorders>
            <w:noWrap w:val="0"/>
            <w:vAlign w:val="center"/>
          </w:tcPr>
          <w:p w14:paraId="0CD7D71C">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元/台/8h</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2F978B34">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r w14:paraId="1AD149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10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FFD955">
            <w:pPr>
              <w:keepNext w:val="0"/>
              <w:keepLines w:val="0"/>
              <w:pageBreakBefore w:val="0"/>
              <w:wordWrap/>
              <w:overflowPunct/>
              <w:topLinePunct w:val="0"/>
              <w:bidi w:val="0"/>
              <w:snapToGrid/>
              <w:spacing w:before="0" w:beforeAutospacing="0" w:after="0" w:afterAutospacing="0" w:line="384" w:lineRule="auto"/>
              <w:ind w:firstLine="480" w:firstLineChars="200"/>
              <w:jc w:val="both"/>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p>
        </w:tc>
        <w:tc>
          <w:tcPr>
            <w:tcW w:w="964" w:type="pct"/>
            <w:tcBorders>
              <w:top w:val="single" w:color="000000" w:sz="4" w:space="0"/>
              <w:left w:val="single" w:color="000000" w:sz="4" w:space="0"/>
              <w:bottom w:val="single" w:color="000000" w:sz="4" w:space="0"/>
              <w:right w:val="single" w:color="000000" w:sz="4" w:space="0"/>
            </w:tcBorders>
            <w:noWrap w:val="0"/>
            <w:vAlign w:val="center"/>
          </w:tcPr>
          <w:p w14:paraId="590F781C">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zh-CN" w:eastAsia="zh-CN" w:bidi="ar-SA"/>
              </w:rPr>
            </w:pPr>
            <w:r>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t>装载机（50）</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2F7ABE">
            <w:pPr>
              <w:snapToGrid/>
              <w:spacing w:before="0" w:beforeAutospacing="0" w:after="0" w:afterAutospacing="0" w:line="360" w:lineRule="auto"/>
              <w:jc w:val="center"/>
              <w:textAlignment w:val="baseline"/>
              <w:rPr>
                <w:rFonts w:hint="eastAsia" w:ascii="宋体" w:hAnsi="宋体" w:eastAsia="宋体" w:cs="宋体"/>
                <w:b w:val="0"/>
                <w:i w:val="0"/>
                <w:caps w:val="0"/>
                <w:snapToGrid w:val="0"/>
                <w:color w:val="00000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310台班</w:t>
            </w:r>
          </w:p>
        </w:tc>
        <w:tc>
          <w:tcPr>
            <w:tcW w:w="2045" w:type="dxa"/>
            <w:tcBorders>
              <w:top w:val="single" w:color="000000" w:sz="4" w:space="0"/>
              <w:left w:val="single" w:color="000000" w:sz="4" w:space="0"/>
              <w:bottom w:val="single" w:color="000000" w:sz="4" w:space="0"/>
              <w:right w:val="single" w:color="000000" w:sz="4" w:space="0"/>
            </w:tcBorders>
            <w:noWrap w:val="0"/>
            <w:vAlign w:val="center"/>
          </w:tcPr>
          <w:p w14:paraId="6593A58E">
            <w:pPr>
              <w:snapToGrid/>
              <w:spacing w:before="0" w:beforeAutospacing="0" w:after="0" w:afterAutospacing="0" w:line="360"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r>
              <w:rPr>
                <w:rStyle w:val="8"/>
                <w:rFonts w:hint="eastAsia" w:ascii="宋体" w:hAnsi="宋体" w:eastAsia="宋体" w:cs="宋体"/>
                <w:b w:val="0"/>
                <w:i w:val="0"/>
                <w:caps w:val="0"/>
                <w:spacing w:val="0"/>
                <w:w w:val="100"/>
                <w:kern w:val="2"/>
                <w:sz w:val="24"/>
                <w:szCs w:val="24"/>
                <w:highlight w:val="non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u w:val="single"/>
                <w:lang w:val="en-US" w:eastAsia="zh-CN" w:bidi="ar-SA"/>
              </w:rPr>
              <w:t xml:space="preserve">  </w:t>
            </w:r>
            <w:r>
              <w:rPr>
                <w:rStyle w:val="8"/>
                <w:rFonts w:hint="eastAsia" w:ascii="宋体" w:hAnsi="宋体" w:eastAsia="宋体" w:cs="宋体"/>
                <w:b w:val="0"/>
                <w:i w:val="0"/>
                <w:caps w:val="0"/>
                <w:spacing w:val="0"/>
                <w:w w:val="100"/>
                <w:kern w:val="2"/>
                <w:sz w:val="24"/>
                <w:szCs w:val="24"/>
                <w:highlight w:val="none"/>
                <w:lang w:val="en-US" w:eastAsia="zh-CN" w:bidi="ar-SA"/>
              </w:rPr>
              <w:t>元/台/8h</w:t>
            </w:r>
          </w:p>
        </w:tc>
        <w:tc>
          <w:tcPr>
            <w:tcW w:w="568" w:type="pct"/>
            <w:tcBorders>
              <w:top w:val="single" w:color="000000" w:sz="4" w:space="0"/>
              <w:left w:val="single" w:color="000000" w:sz="4" w:space="0"/>
              <w:bottom w:val="single" w:color="000000" w:sz="4" w:space="0"/>
              <w:right w:val="single" w:color="000000" w:sz="4" w:space="0"/>
            </w:tcBorders>
            <w:noWrap w:val="0"/>
            <w:vAlign w:val="center"/>
          </w:tcPr>
          <w:p w14:paraId="40D1AE75">
            <w:pPr>
              <w:keepNext w:val="0"/>
              <w:keepLines w:val="0"/>
              <w:pageBreakBefore w:val="0"/>
              <w:wordWrap/>
              <w:overflowPunct/>
              <w:topLinePunct w:val="0"/>
              <w:bidi w:val="0"/>
              <w:snapToGrid/>
              <w:spacing w:before="0" w:beforeAutospacing="0" w:after="0" w:afterAutospacing="0" w:line="384" w:lineRule="auto"/>
              <w:jc w:val="center"/>
              <w:textAlignment w:val="baseline"/>
              <w:rPr>
                <w:rStyle w:val="8"/>
                <w:rFonts w:hint="eastAsia" w:asciiTheme="minorEastAsia" w:hAnsiTheme="minorEastAsia" w:eastAsiaTheme="minorEastAsia" w:cstheme="minorEastAsia"/>
                <w:b w:val="0"/>
                <w:i w:val="0"/>
                <w:caps w:val="0"/>
                <w:spacing w:val="0"/>
                <w:w w:val="100"/>
                <w:kern w:val="2"/>
                <w:sz w:val="24"/>
                <w:szCs w:val="24"/>
                <w:highlight w:val="none"/>
                <w:lang w:val="en-US" w:eastAsia="zh-CN" w:bidi="ar-SA"/>
              </w:rPr>
            </w:pPr>
          </w:p>
        </w:tc>
      </w:tr>
    </w:tbl>
    <w:p w14:paraId="53F3B8A7">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napToGrid w:val="0"/>
          <w:color w:val="000000"/>
          <w:kern w:val="0"/>
          <w:sz w:val="24"/>
          <w:szCs w:val="24"/>
          <w:highlight w:val="none"/>
          <w:lang w:val="en-US" w:eastAsia="en-US" w:bidi="ar-SA"/>
        </w:rPr>
        <w:t>3.</w:t>
      </w:r>
      <w:r>
        <w:rPr>
          <w:rFonts w:hint="eastAsia" w:asciiTheme="minorEastAsia" w:hAnsiTheme="minorEastAsia" w:eastAsiaTheme="minorEastAsia" w:cstheme="minorEastAsia"/>
          <w:sz w:val="24"/>
          <w:szCs w:val="24"/>
          <w:highlight w:val="none"/>
        </w:rPr>
        <w:t>付款方式：</w:t>
      </w:r>
    </w:p>
    <w:p w14:paraId="6CDA8A83">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000000"/>
          <w:sz w:val="24"/>
          <w:szCs w:val="24"/>
          <w:highlight w:val="none"/>
          <w:lang w:val="en-US" w:eastAsia="zh-CN" w:bidi="ar"/>
        </w:rPr>
      </w:pPr>
      <w:r>
        <w:rPr>
          <w:rFonts w:hint="eastAsia" w:ascii="宋体" w:hAnsi="宋体" w:eastAsia="宋体" w:cs="宋体"/>
          <w:bCs/>
          <w:color w:val="000000"/>
          <w:sz w:val="24"/>
          <w:szCs w:val="24"/>
          <w:highlight w:val="none"/>
          <w:lang w:val="en-US" w:eastAsia="zh-CN" w:bidi="ar"/>
        </w:rPr>
        <w:t>（1）预付款支付条款：无</w:t>
      </w:r>
    </w:p>
    <w:p w14:paraId="73EB7F7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000000"/>
          <w:sz w:val="24"/>
          <w:szCs w:val="24"/>
          <w:highlight w:val="none"/>
          <w:lang w:val="en-US" w:eastAsia="zh-CN" w:bidi="ar"/>
        </w:rPr>
      </w:pPr>
      <w:r>
        <w:rPr>
          <w:rFonts w:hint="eastAsia" w:ascii="宋体" w:hAnsi="宋体" w:eastAsia="宋体" w:cs="宋体"/>
          <w:bCs/>
          <w:color w:val="000000"/>
          <w:sz w:val="24"/>
          <w:szCs w:val="24"/>
          <w:highlight w:val="none"/>
          <w:lang w:val="en-US" w:eastAsia="zh-CN" w:bidi="ar"/>
        </w:rPr>
        <w:t>（2）剩余款项支付条款：</w:t>
      </w:r>
    </w:p>
    <w:p w14:paraId="0D3A300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000000"/>
          <w:sz w:val="24"/>
          <w:szCs w:val="24"/>
          <w:highlight w:val="none"/>
          <w:lang w:val="en-US" w:eastAsia="zh-CN" w:bidi="ar"/>
        </w:rPr>
      </w:pPr>
      <w:r>
        <w:rPr>
          <w:rFonts w:hint="eastAsia" w:ascii="宋体" w:hAnsi="宋体" w:eastAsia="宋体" w:cs="宋体"/>
          <w:bCs/>
          <w:color w:val="000000"/>
          <w:sz w:val="24"/>
          <w:szCs w:val="24"/>
          <w:highlight w:val="none"/>
          <w:lang w:val="en-US" w:eastAsia="zh-CN" w:bidi="ar"/>
        </w:rPr>
        <w:t>合同签订后，每季度结算一次，乙方应向甲方出具书面付款通知（注明开户行及账户信息）以及符合国家财税规定的增值税发票，达到付款条件起30日内，支付结算价款的80.00%。</w:t>
      </w:r>
    </w:p>
    <w:p w14:paraId="2EA68A3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lang w:eastAsia="zh-CN"/>
        </w:rPr>
      </w:pPr>
      <w:r>
        <w:rPr>
          <w:rFonts w:hint="eastAsia" w:ascii="宋体" w:hAnsi="宋体" w:eastAsia="宋体" w:cs="宋体"/>
          <w:bCs/>
          <w:color w:val="000000"/>
          <w:sz w:val="24"/>
          <w:szCs w:val="24"/>
          <w:highlight w:val="none"/>
          <w:lang w:val="en-US" w:eastAsia="zh-CN" w:bidi="ar"/>
        </w:rPr>
        <w:t>合同期满并验收合格后乙方应向甲方出具书面付款通知（注明开户行及账户信息）以及符合国家财税规定的增值税发票，达到付款条件起30日内，甲方一次性支付剩余价款，乙方向甲方上报经过甲方现场工作人员确认的工作量，结算金额为单价与实际违法建设拆除面积的乘积，据实结算。</w:t>
      </w:r>
    </w:p>
    <w:p w14:paraId="3B7EBCC0">
      <w:pPr>
        <w:keepNext w:val="0"/>
        <w:keepLines w:val="0"/>
        <w:pageBreakBefore w:val="0"/>
        <w:wordWrap/>
        <w:overflowPunct/>
        <w:topLinePunct w:val="0"/>
        <w:bidi w:val="0"/>
        <w:adjustRightInd w:val="0"/>
        <w:snapToGrid w:val="0"/>
        <w:spacing w:line="384" w:lineRule="auto"/>
        <w:ind w:firstLine="480" w:firstLineChars="200"/>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4.合同范围外变更价款调整方式：</w:t>
      </w:r>
    </w:p>
    <w:p w14:paraId="1E9A65A2">
      <w:pPr>
        <w:keepNext w:val="0"/>
        <w:keepLines w:val="0"/>
        <w:pageBreakBefore w:val="0"/>
        <w:wordWrap/>
        <w:overflowPunct/>
        <w:topLinePunct w:val="0"/>
        <w:bidi w:val="0"/>
        <w:adjustRightInd w:val="0"/>
        <w:snapToGrid w:val="0"/>
        <w:spacing w:line="384" w:lineRule="auto"/>
        <w:ind w:firstLine="480" w:firstLineChars="200"/>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因非乙方原因的工程变更签证，造成增加新的工程量清单项目，其对应的综合单价按下列方法确定。</w:t>
      </w:r>
    </w:p>
    <w:p w14:paraId="3F57F6EB">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outlineLvl w:val="9"/>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1）合同中已有适用的综合单价，按合同中已有的综合单价确定；</w:t>
      </w:r>
    </w:p>
    <w:p w14:paraId="01D33E7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outlineLvl w:val="9"/>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2）合同中有类似的综合单价，参照类似的综合单价确定；</w:t>
      </w:r>
    </w:p>
    <w:p w14:paraId="521DFE5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outlineLvl w:val="9"/>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3）合同中没有适用或类似的综合单价，由乙方依据市场价提出综合单价，甲方确认。</w:t>
      </w:r>
    </w:p>
    <w:p w14:paraId="6273DC98">
      <w:pPr>
        <w:keepNext w:val="0"/>
        <w:keepLines w:val="0"/>
        <w:pageBreakBefore w:val="0"/>
        <w:widowControl w:val="0"/>
        <w:kinsoku/>
        <w:wordWrap/>
        <w:overflowPunct/>
        <w:topLinePunct w:val="0"/>
        <w:autoSpaceDE/>
        <w:autoSpaceDN/>
        <w:bidi w:val="0"/>
        <w:adjustRightInd/>
        <w:snapToGrid/>
        <w:spacing w:line="384" w:lineRule="auto"/>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第五条  建筑材料、设备的供应和采购</w:t>
      </w:r>
    </w:p>
    <w:p w14:paraId="01E491D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eastAsia="zh-CN"/>
        </w:rPr>
        <w:t>一、</w:t>
      </w:r>
      <w:r>
        <w:rPr>
          <w:rFonts w:hint="eastAsia" w:asciiTheme="minorEastAsia" w:hAnsiTheme="minorEastAsia" w:eastAsiaTheme="minorEastAsia" w:cstheme="minorEastAsia"/>
          <w:bCs/>
          <w:sz w:val="24"/>
          <w:szCs w:val="24"/>
          <w:highlight w:val="none"/>
        </w:rPr>
        <w:t>工程材料、设备由乙方采购。</w:t>
      </w:r>
    </w:p>
    <w:p w14:paraId="00C7685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二、</w:t>
      </w:r>
      <w:r>
        <w:rPr>
          <w:rFonts w:hint="eastAsia" w:asciiTheme="minorEastAsia" w:hAnsiTheme="minorEastAsia" w:eastAsiaTheme="minorEastAsia" w:cstheme="minorEastAsia"/>
          <w:bCs/>
          <w:sz w:val="24"/>
          <w:szCs w:val="24"/>
          <w:highlight w:val="none"/>
        </w:rPr>
        <w:t>乙方</w:t>
      </w:r>
      <w:r>
        <w:rPr>
          <w:rFonts w:hint="eastAsia" w:asciiTheme="minorEastAsia" w:hAnsiTheme="minorEastAsia" w:eastAsiaTheme="minorEastAsia" w:cstheme="minorEastAsia"/>
          <w:bCs/>
          <w:sz w:val="24"/>
          <w:szCs w:val="24"/>
          <w:highlight w:val="none"/>
          <w:lang w:eastAsia="zh-CN"/>
        </w:rPr>
        <w:t>采购</w:t>
      </w:r>
      <w:r>
        <w:rPr>
          <w:rFonts w:hint="eastAsia" w:asciiTheme="minorEastAsia" w:hAnsiTheme="minorEastAsia" w:eastAsiaTheme="minorEastAsia" w:cstheme="minorEastAsia"/>
          <w:bCs/>
          <w:sz w:val="24"/>
          <w:szCs w:val="24"/>
          <w:highlight w:val="none"/>
        </w:rPr>
        <w:t>的材料、设备，必须附有产品合格证和试验报告才能用于工程，甲方认为乙方提供的材料需要复验的，乙方应按要求提供复验报告。经复验符合质量要求的，方可用于工程；复验不符合质量要求的，应</w:t>
      </w:r>
      <w:r>
        <w:rPr>
          <w:rFonts w:hint="eastAsia" w:asciiTheme="minorEastAsia" w:hAnsiTheme="minorEastAsia" w:eastAsiaTheme="minorEastAsia" w:cstheme="minorEastAsia"/>
          <w:bCs/>
          <w:sz w:val="24"/>
          <w:szCs w:val="24"/>
          <w:highlight w:val="none"/>
          <w:lang w:eastAsia="zh-CN"/>
        </w:rPr>
        <w:t>退货处理</w:t>
      </w:r>
      <w:r>
        <w:rPr>
          <w:rFonts w:hint="eastAsia" w:asciiTheme="minorEastAsia" w:hAnsiTheme="minorEastAsia" w:eastAsiaTheme="minorEastAsia" w:cstheme="minorEastAsia"/>
          <w:bCs/>
          <w:sz w:val="24"/>
          <w:szCs w:val="24"/>
          <w:highlight w:val="none"/>
        </w:rPr>
        <w:t>，其复验费和</w:t>
      </w:r>
      <w:r>
        <w:rPr>
          <w:rFonts w:hint="eastAsia" w:asciiTheme="minorEastAsia" w:hAnsiTheme="minorEastAsia" w:eastAsiaTheme="minorEastAsia" w:cstheme="minorEastAsia"/>
          <w:bCs/>
          <w:sz w:val="24"/>
          <w:szCs w:val="24"/>
          <w:highlight w:val="none"/>
          <w:lang w:eastAsia="zh-CN"/>
        </w:rPr>
        <w:t>退货</w:t>
      </w:r>
      <w:r>
        <w:rPr>
          <w:rFonts w:hint="eastAsia" w:asciiTheme="minorEastAsia" w:hAnsiTheme="minorEastAsia" w:eastAsiaTheme="minorEastAsia" w:cstheme="minorEastAsia"/>
          <w:bCs/>
          <w:sz w:val="24"/>
          <w:szCs w:val="24"/>
          <w:highlight w:val="none"/>
        </w:rPr>
        <w:t>损失由乙方承担。</w:t>
      </w:r>
    </w:p>
    <w:p w14:paraId="00137146">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eastAsia="zh-CN"/>
        </w:rPr>
        <w:t>三、</w:t>
      </w:r>
      <w:r>
        <w:rPr>
          <w:rFonts w:hint="eastAsia" w:asciiTheme="minorEastAsia" w:hAnsiTheme="minorEastAsia" w:eastAsiaTheme="minorEastAsia" w:cstheme="minorEastAsia"/>
          <w:bCs/>
          <w:sz w:val="24"/>
          <w:szCs w:val="24"/>
          <w:highlight w:val="none"/>
        </w:rPr>
        <w:t>本项目选用的主要工程材料、设备</w:t>
      </w:r>
      <w:r>
        <w:rPr>
          <w:rFonts w:hint="eastAsia" w:asciiTheme="minorEastAsia" w:hAnsiTheme="minorEastAsia" w:eastAsiaTheme="minorEastAsia" w:cstheme="minorEastAsia"/>
          <w:bCs/>
          <w:sz w:val="24"/>
          <w:szCs w:val="24"/>
          <w:highlight w:val="none"/>
          <w:lang w:eastAsia="zh-CN"/>
        </w:rPr>
        <w:t>及重要部位的装饰材料</w:t>
      </w:r>
      <w:r>
        <w:rPr>
          <w:rFonts w:hint="eastAsia" w:asciiTheme="minorEastAsia" w:hAnsiTheme="minorEastAsia" w:eastAsiaTheme="minorEastAsia" w:cstheme="minorEastAsia"/>
          <w:bCs/>
          <w:sz w:val="24"/>
          <w:szCs w:val="24"/>
          <w:highlight w:val="none"/>
        </w:rPr>
        <w:t>，乙方须报送甲方进行审核，甲方对选用的材料设备有认质和选用的决定权。</w:t>
      </w:r>
    </w:p>
    <w:p w14:paraId="19810922">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u w:val="none"/>
        </w:rPr>
      </w:pPr>
      <w:r>
        <w:rPr>
          <w:rFonts w:hint="eastAsia" w:asciiTheme="minorEastAsia" w:hAnsiTheme="minorEastAsia" w:eastAsiaTheme="minorEastAsia" w:cstheme="minorEastAsia"/>
          <w:b/>
          <w:sz w:val="24"/>
          <w:szCs w:val="24"/>
          <w:highlight w:val="none"/>
        </w:rPr>
        <w:t>第六条</w:t>
      </w:r>
      <w:r>
        <w:rPr>
          <w:rFonts w:hint="eastAsia" w:asciiTheme="minorEastAsia" w:hAnsiTheme="minorEastAsia" w:eastAsiaTheme="minorEastAsia" w:cstheme="minorEastAsia"/>
          <w:b/>
          <w:sz w:val="24"/>
          <w:szCs w:val="24"/>
          <w:highlight w:val="none"/>
          <w:lang w:val="en-US" w:eastAsia="zh-CN"/>
        </w:rPr>
        <w:t xml:space="preserve">  项目联系人</w:t>
      </w:r>
    </w:p>
    <w:p w14:paraId="2186614B">
      <w:pPr>
        <w:keepNext w:val="0"/>
        <w:keepLines w:val="0"/>
        <w:pageBreakBefore w:val="0"/>
        <w:wordWrap/>
        <w:overflowPunct/>
        <w:topLinePunct w:val="0"/>
        <w:bidi w:val="0"/>
        <w:spacing w:line="384" w:lineRule="auto"/>
        <w:ind w:firstLine="482"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
          <w:bCs w:val="0"/>
          <w:sz w:val="24"/>
          <w:szCs w:val="24"/>
          <w:highlight w:val="none"/>
          <w:u w:val="none"/>
          <w:lang w:eastAsia="zh-CN"/>
        </w:rPr>
        <w:t>乙方：</w:t>
      </w:r>
      <w:r>
        <w:rPr>
          <w:rFonts w:hint="eastAsia" w:asciiTheme="minorEastAsia" w:hAnsiTheme="minorEastAsia" w:eastAsiaTheme="minorEastAsia" w:cstheme="minorEastAsia"/>
          <w:bCs/>
          <w:sz w:val="24"/>
          <w:szCs w:val="24"/>
          <w:highlight w:val="none"/>
          <w:u w:val="none"/>
          <w:lang w:eastAsia="zh-CN"/>
        </w:rPr>
        <w:t>本项目</w:t>
      </w:r>
      <w:r>
        <w:rPr>
          <w:rFonts w:hint="eastAsia" w:asciiTheme="minorEastAsia" w:hAnsiTheme="minorEastAsia" w:eastAsiaTheme="minorEastAsia" w:cstheme="minorEastAsia"/>
          <w:bCs/>
          <w:sz w:val="24"/>
          <w:szCs w:val="24"/>
          <w:highlight w:val="none"/>
        </w:rPr>
        <w:t>拟派</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为</w:t>
      </w:r>
      <w:r>
        <w:rPr>
          <w:rFonts w:hint="eastAsia" w:asciiTheme="minorEastAsia" w:hAnsiTheme="minorEastAsia" w:eastAsiaTheme="minorEastAsia" w:cstheme="minorEastAsia"/>
          <w:bCs/>
          <w:sz w:val="24"/>
          <w:szCs w:val="24"/>
          <w:highlight w:val="none"/>
          <w:lang w:eastAsia="zh-CN"/>
        </w:rPr>
        <w:t>联系人</w:t>
      </w:r>
      <w:r>
        <w:rPr>
          <w:rFonts w:hint="eastAsia" w:asciiTheme="minorEastAsia" w:hAnsiTheme="minorEastAsia" w:eastAsiaTheme="minorEastAsia" w:cstheme="minorEastAsia"/>
          <w:bCs/>
          <w:sz w:val="24"/>
          <w:szCs w:val="24"/>
          <w:highlight w:val="none"/>
        </w:rPr>
        <w:t>，联系电话：</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，身份证号：</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none"/>
        </w:rPr>
        <w:t>。</w:t>
      </w:r>
    </w:p>
    <w:p w14:paraId="0B796D75">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工程质量管理及验收</w:t>
      </w:r>
    </w:p>
    <w:p w14:paraId="4A98EC42">
      <w:pPr>
        <w:keepNext w:val="0"/>
        <w:keepLines w:val="0"/>
        <w:pageBreakBefore w:val="0"/>
        <w:widowControl/>
        <w:kinsoku/>
        <w:wordWrap/>
        <w:overflowPunct/>
        <w:topLinePunct w:val="0"/>
        <w:autoSpaceDE w:val="0"/>
        <w:autoSpaceDN w:val="0"/>
        <w:bidi w:val="0"/>
        <w:adjustRightInd w:val="0"/>
        <w:snapToGrid w:val="0"/>
        <w:spacing w:line="384" w:lineRule="auto"/>
        <w:ind w:firstLine="480" w:firstLineChars="200"/>
        <w:textAlignment w:val="baseline"/>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eastAsia="zh-CN"/>
        </w:rPr>
        <w:t>一、</w:t>
      </w:r>
      <w:r>
        <w:rPr>
          <w:rFonts w:hint="eastAsia" w:asciiTheme="minorEastAsia" w:hAnsiTheme="minorEastAsia" w:eastAsiaTheme="minorEastAsia" w:cstheme="minorEastAsia"/>
          <w:bCs/>
          <w:sz w:val="24"/>
          <w:szCs w:val="24"/>
          <w:highlight w:val="none"/>
        </w:rPr>
        <w:t>工程具备隐蔽条件，乙方先进行自检，并在验收前48小时以书面形式通知甲方验收。验收合格，甲方代表在验收记录上签字后，乙方可继续施工。验收不合格，乙方予以整改后再交由甲方重新验收。</w:t>
      </w:r>
    </w:p>
    <w:p w14:paraId="3A3C5E6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二、</w:t>
      </w:r>
      <w:r>
        <w:rPr>
          <w:rFonts w:hint="eastAsia" w:asciiTheme="minorEastAsia" w:hAnsiTheme="minorEastAsia" w:eastAsiaTheme="minorEastAsia" w:cstheme="minorEastAsia"/>
          <w:bCs/>
          <w:sz w:val="24"/>
          <w:szCs w:val="24"/>
          <w:highlight w:val="none"/>
        </w:rPr>
        <w:t>工程具备竣工验收条件，乙方按国家工程竣工验收有关规定，向甲方提供完整竣工资料及竣工验收报告，甲方组织乙方及相关单位完成竣工验收。</w:t>
      </w:r>
    </w:p>
    <w:p w14:paraId="1E94569D">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三、</w:t>
      </w:r>
      <w:r>
        <w:rPr>
          <w:rFonts w:hint="eastAsia" w:asciiTheme="minorEastAsia" w:hAnsiTheme="minorEastAsia" w:eastAsiaTheme="minorEastAsia" w:cstheme="minorEastAsia"/>
          <w:bCs/>
          <w:sz w:val="24"/>
          <w:szCs w:val="24"/>
          <w:highlight w:val="none"/>
        </w:rPr>
        <w:t>符合招标文件和国家及行业规定的建筑工程质量检验评定“合格”标准。</w:t>
      </w:r>
    </w:p>
    <w:p w14:paraId="44981DE4">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
          <w:sz w:val="24"/>
          <w:szCs w:val="24"/>
          <w:highlight w:val="none"/>
        </w:rPr>
        <w:t>第八条  安全施工</w:t>
      </w:r>
    </w:p>
    <w:p w14:paraId="62029A03">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
          <w:sz w:val="24"/>
          <w:szCs w:val="24"/>
          <w:highlight w:val="none"/>
          <w:lang w:eastAsia="zh-CN"/>
        </w:rPr>
      </w:pPr>
      <w:r>
        <w:rPr>
          <w:rFonts w:hint="eastAsia" w:asciiTheme="minorEastAsia" w:hAnsiTheme="minorEastAsia" w:eastAsiaTheme="minorEastAsia" w:cstheme="minorEastAsia"/>
          <w:bCs/>
          <w:sz w:val="24"/>
          <w:szCs w:val="24"/>
          <w:highlight w:val="none"/>
        </w:rPr>
        <w:t>乙方应遵守工程建设安全生产有关管理规定，严格按安全标准组织施工，采取必要的安全防护措施，消除事故隐患。由于乙方安全措施不力造成事故的责任和因此发生的费用，由乙方承担</w:t>
      </w:r>
      <w:r>
        <w:rPr>
          <w:rFonts w:hint="eastAsia" w:asciiTheme="minorEastAsia" w:hAnsiTheme="minorEastAsia" w:eastAsiaTheme="minorEastAsia" w:cstheme="minorEastAsia"/>
          <w:bCs/>
          <w:sz w:val="24"/>
          <w:szCs w:val="24"/>
          <w:highlight w:val="none"/>
          <w:lang w:eastAsia="zh-CN"/>
        </w:rPr>
        <w:t>，与甲方无关。</w:t>
      </w:r>
    </w:p>
    <w:p w14:paraId="000FDF1A">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双方的权利和义务</w:t>
      </w:r>
    </w:p>
    <w:p w14:paraId="14EAA7A1">
      <w:pPr>
        <w:keepNext w:val="0"/>
        <w:keepLines w:val="0"/>
        <w:pageBreakBefore w:val="0"/>
        <w:wordWrap/>
        <w:overflowPunct/>
        <w:topLinePunct w:val="0"/>
        <w:bidi w:val="0"/>
        <w:spacing w:line="384" w:lineRule="auto"/>
        <w:ind w:firstLine="482" w:firstLineChars="200"/>
        <w:rPr>
          <w:rFonts w:hint="eastAsia" w:asciiTheme="minorEastAsia" w:hAnsiTheme="minorEastAsia" w:eastAsiaTheme="minorEastAsia" w:cstheme="minorEastAsia"/>
          <w:b/>
          <w:bCs w:val="0"/>
          <w:sz w:val="24"/>
          <w:szCs w:val="24"/>
          <w:highlight w:val="none"/>
        </w:rPr>
      </w:pPr>
      <w:r>
        <w:rPr>
          <w:rFonts w:hint="eastAsia" w:asciiTheme="minorEastAsia" w:hAnsiTheme="minorEastAsia" w:eastAsiaTheme="minorEastAsia" w:cstheme="minorEastAsia"/>
          <w:b/>
          <w:bCs w:val="0"/>
          <w:sz w:val="24"/>
          <w:szCs w:val="24"/>
          <w:highlight w:val="none"/>
          <w:lang w:val="en-US" w:eastAsia="zh-CN"/>
        </w:rPr>
        <w:t>一、</w:t>
      </w:r>
      <w:r>
        <w:rPr>
          <w:rFonts w:hint="eastAsia" w:asciiTheme="minorEastAsia" w:hAnsiTheme="minorEastAsia" w:eastAsiaTheme="minorEastAsia" w:cstheme="minorEastAsia"/>
          <w:b/>
          <w:bCs w:val="0"/>
          <w:sz w:val="24"/>
          <w:szCs w:val="24"/>
          <w:highlight w:val="none"/>
        </w:rPr>
        <w:t>甲方的权利与义务</w:t>
      </w:r>
    </w:p>
    <w:p w14:paraId="213EA904">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1）</w:t>
      </w:r>
      <w:r>
        <w:rPr>
          <w:rFonts w:hint="eastAsia" w:asciiTheme="minorEastAsia" w:hAnsiTheme="minorEastAsia" w:eastAsiaTheme="minorEastAsia" w:cstheme="minorEastAsia"/>
          <w:bCs/>
          <w:sz w:val="24"/>
          <w:szCs w:val="24"/>
          <w:highlight w:val="none"/>
        </w:rPr>
        <w:t>协助提供施工所需水、电、但具体费用由乙方承担；</w:t>
      </w:r>
    </w:p>
    <w:p w14:paraId="7C7AEDF1">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2）</w:t>
      </w:r>
      <w:r>
        <w:rPr>
          <w:rFonts w:hint="eastAsia" w:asciiTheme="minorEastAsia" w:hAnsiTheme="minorEastAsia" w:eastAsiaTheme="minorEastAsia" w:cstheme="minorEastAsia"/>
          <w:bCs/>
          <w:sz w:val="24"/>
          <w:szCs w:val="24"/>
          <w:highlight w:val="none"/>
        </w:rPr>
        <w:t>协调处理施工现场地下管线的改造，绿化挖移；</w:t>
      </w:r>
    </w:p>
    <w:p w14:paraId="404AFE89">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3）</w:t>
      </w:r>
      <w:r>
        <w:rPr>
          <w:rFonts w:hint="eastAsia" w:asciiTheme="minorEastAsia" w:hAnsiTheme="minorEastAsia" w:eastAsiaTheme="minorEastAsia" w:cstheme="minorEastAsia"/>
          <w:bCs/>
          <w:sz w:val="24"/>
          <w:szCs w:val="24"/>
          <w:highlight w:val="none"/>
        </w:rPr>
        <w:t>协助切断水、电源、为乙方创造必要的施工条件；</w:t>
      </w:r>
    </w:p>
    <w:p w14:paraId="3CB7AECC">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4）</w:t>
      </w:r>
      <w:r>
        <w:rPr>
          <w:rFonts w:hint="eastAsia" w:asciiTheme="minorEastAsia" w:hAnsiTheme="minorEastAsia" w:eastAsiaTheme="minorEastAsia" w:cstheme="minorEastAsia"/>
          <w:bCs/>
          <w:sz w:val="24"/>
          <w:szCs w:val="24"/>
          <w:highlight w:val="none"/>
        </w:rPr>
        <w:t>按安全文明施工的规定，督促乙方落实安全施工、文明施工措施；</w:t>
      </w:r>
    </w:p>
    <w:p w14:paraId="2C6BD46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5）</w:t>
      </w:r>
      <w:r>
        <w:rPr>
          <w:rFonts w:hint="eastAsia" w:asciiTheme="minorEastAsia" w:hAnsiTheme="minorEastAsia" w:eastAsiaTheme="minorEastAsia" w:cstheme="minorEastAsia"/>
          <w:bCs/>
          <w:sz w:val="24"/>
          <w:szCs w:val="24"/>
          <w:highlight w:val="none"/>
        </w:rPr>
        <w:t>对</w:t>
      </w:r>
      <w:r>
        <w:rPr>
          <w:rFonts w:hint="eastAsia" w:asciiTheme="minorEastAsia" w:hAnsiTheme="minorEastAsia" w:eastAsiaTheme="minorEastAsia" w:cstheme="minorEastAsia"/>
          <w:bCs/>
          <w:sz w:val="24"/>
          <w:szCs w:val="24"/>
          <w:highlight w:val="none"/>
          <w:lang w:eastAsia="zh-CN"/>
        </w:rPr>
        <w:t>违法建设拆除</w:t>
      </w:r>
      <w:r>
        <w:rPr>
          <w:rFonts w:hint="eastAsia" w:asciiTheme="minorEastAsia" w:hAnsiTheme="minorEastAsia" w:eastAsiaTheme="minorEastAsia" w:cstheme="minorEastAsia"/>
          <w:bCs/>
          <w:sz w:val="24"/>
          <w:szCs w:val="24"/>
          <w:highlight w:val="none"/>
          <w:lang w:val="en-US" w:eastAsia="zh-CN"/>
        </w:rPr>
        <w:t>及</w:t>
      </w:r>
      <w:r>
        <w:rPr>
          <w:rFonts w:hint="eastAsia" w:asciiTheme="minorEastAsia" w:hAnsiTheme="minorEastAsia" w:eastAsiaTheme="minorEastAsia" w:cstheme="minorEastAsia"/>
          <w:bCs/>
          <w:sz w:val="24"/>
          <w:szCs w:val="24"/>
          <w:highlight w:val="none"/>
        </w:rPr>
        <w:t>垃圾清运</w:t>
      </w:r>
      <w:r>
        <w:rPr>
          <w:rFonts w:hint="eastAsia" w:asciiTheme="minorEastAsia" w:hAnsiTheme="minorEastAsia" w:eastAsiaTheme="minorEastAsia" w:cstheme="minorEastAsia"/>
          <w:bCs/>
          <w:sz w:val="24"/>
          <w:szCs w:val="24"/>
          <w:highlight w:val="none"/>
          <w:lang w:val="en-US" w:eastAsia="zh-CN"/>
        </w:rPr>
        <w:t>工作</w:t>
      </w:r>
      <w:r>
        <w:rPr>
          <w:rFonts w:hint="eastAsia" w:asciiTheme="minorEastAsia" w:hAnsiTheme="minorEastAsia" w:eastAsiaTheme="minorEastAsia" w:cstheme="minorEastAsia"/>
          <w:bCs/>
          <w:sz w:val="24"/>
          <w:szCs w:val="24"/>
          <w:highlight w:val="none"/>
        </w:rPr>
        <w:t>提出指导性建议或意见促使施工顺利进行；</w:t>
      </w:r>
    </w:p>
    <w:p w14:paraId="3FB51328">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6）</w:t>
      </w:r>
      <w:r>
        <w:rPr>
          <w:rFonts w:hint="eastAsia" w:asciiTheme="minorEastAsia" w:hAnsiTheme="minorEastAsia" w:eastAsiaTheme="minorEastAsia" w:cstheme="minorEastAsia"/>
          <w:bCs/>
          <w:sz w:val="24"/>
          <w:szCs w:val="24"/>
          <w:highlight w:val="none"/>
        </w:rPr>
        <w:t>负责</w:t>
      </w:r>
      <w:r>
        <w:rPr>
          <w:rFonts w:hint="eastAsia" w:asciiTheme="minorEastAsia" w:hAnsiTheme="minorEastAsia" w:eastAsiaTheme="minorEastAsia" w:cstheme="minorEastAsia"/>
          <w:bCs/>
          <w:sz w:val="24"/>
          <w:szCs w:val="24"/>
          <w:highlight w:val="none"/>
          <w:lang w:eastAsia="zh-CN"/>
        </w:rPr>
        <w:t>拆除</w:t>
      </w:r>
      <w:r>
        <w:rPr>
          <w:rFonts w:hint="eastAsia" w:asciiTheme="minorEastAsia" w:hAnsiTheme="minorEastAsia" w:eastAsiaTheme="minorEastAsia" w:cstheme="minorEastAsia"/>
          <w:bCs/>
          <w:sz w:val="24"/>
          <w:szCs w:val="24"/>
          <w:highlight w:val="none"/>
          <w:lang w:val="en-US" w:eastAsia="zh-CN"/>
        </w:rPr>
        <w:t>工作</w:t>
      </w:r>
      <w:r>
        <w:rPr>
          <w:rFonts w:hint="eastAsia" w:asciiTheme="minorEastAsia" w:hAnsiTheme="minorEastAsia" w:eastAsiaTheme="minorEastAsia" w:cstheme="minorEastAsia"/>
          <w:bCs/>
          <w:sz w:val="24"/>
          <w:szCs w:val="24"/>
          <w:highlight w:val="none"/>
        </w:rPr>
        <w:t>及垃圾清运工作的监督、检查；</w:t>
      </w:r>
    </w:p>
    <w:p w14:paraId="3EA9176F">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7）</w:t>
      </w:r>
      <w:r>
        <w:rPr>
          <w:rFonts w:hint="eastAsia" w:asciiTheme="minorEastAsia" w:hAnsiTheme="minorEastAsia" w:eastAsiaTheme="minorEastAsia" w:cstheme="minorEastAsia"/>
          <w:bCs/>
          <w:sz w:val="24"/>
          <w:szCs w:val="24"/>
          <w:highlight w:val="none"/>
        </w:rPr>
        <w:t>负责组织相关力量对本工程工作进行验收</w:t>
      </w:r>
      <w:r>
        <w:rPr>
          <w:rFonts w:hint="eastAsia" w:asciiTheme="minorEastAsia" w:hAnsiTheme="minorEastAsia" w:eastAsiaTheme="minorEastAsia" w:cstheme="minorEastAsia"/>
          <w:bCs/>
          <w:sz w:val="24"/>
          <w:szCs w:val="24"/>
          <w:highlight w:val="none"/>
          <w:lang w:eastAsia="zh-CN"/>
        </w:rPr>
        <w:t>；</w:t>
      </w:r>
    </w:p>
    <w:p w14:paraId="6530B2C6">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8）</w:t>
      </w:r>
      <w:r>
        <w:rPr>
          <w:rFonts w:hint="eastAsia" w:asciiTheme="minorEastAsia" w:hAnsiTheme="minorEastAsia" w:eastAsiaTheme="minorEastAsia" w:cstheme="minorEastAsia"/>
          <w:bCs/>
          <w:sz w:val="24"/>
          <w:szCs w:val="24"/>
          <w:highlight w:val="none"/>
        </w:rPr>
        <w:t>做好公安、城管、工商等相关部门的协调工作，保证施工顺利进行；</w:t>
      </w:r>
    </w:p>
    <w:p w14:paraId="5C90409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9）</w:t>
      </w:r>
      <w:r>
        <w:rPr>
          <w:rFonts w:hint="eastAsia" w:asciiTheme="minorEastAsia" w:hAnsiTheme="minorEastAsia" w:eastAsiaTheme="minorEastAsia" w:cstheme="minorEastAsia"/>
          <w:bCs/>
          <w:sz w:val="24"/>
          <w:szCs w:val="24"/>
          <w:highlight w:val="none"/>
        </w:rPr>
        <w:t>按约定支付工程款并索取相应的发票；</w:t>
      </w:r>
    </w:p>
    <w:p w14:paraId="5B0F2C02">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10）</w:t>
      </w:r>
      <w:r>
        <w:rPr>
          <w:rFonts w:hint="eastAsia" w:asciiTheme="minorEastAsia" w:hAnsiTheme="minorEastAsia" w:eastAsiaTheme="minorEastAsia" w:cstheme="minorEastAsia"/>
          <w:bCs/>
          <w:sz w:val="24"/>
          <w:szCs w:val="24"/>
          <w:highlight w:val="none"/>
        </w:rPr>
        <w:t>根据工程范围内</w:t>
      </w:r>
      <w:r>
        <w:rPr>
          <w:rFonts w:hint="eastAsia" w:asciiTheme="minorEastAsia" w:hAnsiTheme="minorEastAsia" w:eastAsiaTheme="minorEastAsia" w:cstheme="minorEastAsia"/>
          <w:bCs/>
          <w:sz w:val="24"/>
          <w:szCs w:val="24"/>
          <w:highlight w:val="none"/>
          <w:lang w:eastAsia="zh-CN"/>
        </w:rPr>
        <w:t>拆除</w:t>
      </w:r>
      <w:r>
        <w:rPr>
          <w:rFonts w:hint="eastAsia" w:asciiTheme="minorEastAsia" w:hAnsiTheme="minorEastAsia" w:eastAsiaTheme="minorEastAsia" w:cstheme="minorEastAsia"/>
          <w:bCs/>
          <w:sz w:val="24"/>
          <w:szCs w:val="24"/>
          <w:highlight w:val="none"/>
        </w:rPr>
        <w:t>及垃圾清运工作的具体要求，安排乙方完成与上述工作有关的临时性任务。</w:t>
      </w:r>
    </w:p>
    <w:p w14:paraId="2ED987C0">
      <w:pPr>
        <w:keepNext w:val="0"/>
        <w:keepLines w:val="0"/>
        <w:pageBreakBefore w:val="0"/>
        <w:wordWrap/>
        <w:overflowPunct/>
        <w:topLinePunct w:val="0"/>
        <w:bidi w:val="0"/>
        <w:spacing w:line="384" w:lineRule="auto"/>
        <w:ind w:firstLine="482" w:firstLineChars="200"/>
        <w:rPr>
          <w:rFonts w:hint="eastAsia" w:asciiTheme="minorEastAsia" w:hAnsiTheme="minorEastAsia" w:eastAsiaTheme="minorEastAsia" w:cstheme="minorEastAsia"/>
          <w:b/>
          <w:bCs w:val="0"/>
          <w:sz w:val="24"/>
          <w:szCs w:val="24"/>
          <w:highlight w:val="none"/>
        </w:rPr>
      </w:pPr>
      <w:r>
        <w:rPr>
          <w:rFonts w:hint="eastAsia" w:asciiTheme="minorEastAsia" w:hAnsiTheme="minorEastAsia" w:eastAsiaTheme="minorEastAsia" w:cstheme="minorEastAsia"/>
          <w:b/>
          <w:bCs w:val="0"/>
          <w:sz w:val="24"/>
          <w:szCs w:val="24"/>
          <w:highlight w:val="none"/>
          <w:lang w:val="en-US" w:eastAsia="zh-CN"/>
        </w:rPr>
        <w:t>二、</w:t>
      </w:r>
      <w:r>
        <w:rPr>
          <w:rFonts w:hint="eastAsia" w:asciiTheme="minorEastAsia" w:hAnsiTheme="minorEastAsia" w:eastAsiaTheme="minorEastAsia" w:cstheme="minorEastAsia"/>
          <w:b/>
          <w:bCs w:val="0"/>
          <w:sz w:val="24"/>
          <w:szCs w:val="24"/>
          <w:highlight w:val="none"/>
        </w:rPr>
        <w:t>乙方的权利与义务</w:t>
      </w:r>
    </w:p>
    <w:p w14:paraId="5749B851">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1）</w:t>
      </w:r>
      <w:r>
        <w:rPr>
          <w:rFonts w:hint="eastAsia" w:asciiTheme="minorEastAsia" w:hAnsiTheme="minorEastAsia" w:eastAsiaTheme="minorEastAsia" w:cstheme="minorEastAsia"/>
          <w:bCs/>
          <w:sz w:val="24"/>
          <w:szCs w:val="24"/>
          <w:highlight w:val="none"/>
        </w:rPr>
        <w:t>乙方应设置</w:t>
      </w:r>
      <w:r>
        <w:rPr>
          <w:rFonts w:hint="eastAsia" w:asciiTheme="minorEastAsia" w:hAnsiTheme="minorEastAsia" w:eastAsiaTheme="minorEastAsia" w:cstheme="minorEastAsia"/>
          <w:bCs/>
          <w:sz w:val="24"/>
          <w:szCs w:val="24"/>
          <w:highlight w:val="none"/>
          <w:lang w:eastAsia="zh-CN"/>
        </w:rPr>
        <w:t>拆除</w:t>
      </w:r>
      <w:r>
        <w:rPr>
          <w:rFonts w:hint="eastAsia" w:asciiTheme="minorEastAsia" w:hAnsiTheme="minorEastAsia" w:eastAsiaTheme="minorEastAsia" w:cstheme="minorEastAsia"/>
          <w:bCs/>
          <w:sz w:val="24"/>
          <w:szCs w:val="24"/>
          <w:highlight w:val="none"/>
        </w:rPr>
        <w:t>及垃圾清运过程中必要的办公场所，并保证所有参与上述工作的人员必须统一着装，配挂“工作人员”胸牌</w:t>
      </w:r>
      <w:r>
        <w:rPr>
          <w:rFonts w:hint="eastAsia" w:asciiTheme="minorEastAsia" w:hAnsiTheme="minorEastAsia" w:eastAsiaTheme="minorEastAsia" w:cstheme="minorEastAsia"/>
          <w:bCs/>
          <w:sz w:val="24"/>
          <w:szCs w:val="24"/>
          <w:highlight w:val="none"/>
          <w:lang w:eastAsia="zh-CN"/>
        </w:rPr>
        <w:t>；</w:t>
      </w:r>
    </w:p>
    <w:p w14:paraId="38F4AA8E">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2）</w:t>
      </w:r>
      <w:r>
        <w:rPr>
          <w:rFonts w:hint="eastAsia" w:asciiTheme="minorEastAsia" w:hAnsiTheme="minorEastAsia" w:eastAsiaTheme="minorEastAsia" w:cstheme="minorEastAsia"/>
          <w:bCs/>
          <w:sz w:val="24"/>
          <w:szCs w:val="24"/>
          <w:highlight w:val="none"/>
        </w:rPr>
        <w:t>每日向甲方提供进度计划，统计报表和工程事故报告，遵守有关部门对施工场地、交通、噪音等的管理规定</w:t>
      </w:r>
      <w:r>
        <w:rPr>
          <w:rFonts w:hint="eastAsia" w:asciiTheme="minorEastAsia" w:hAnsiTheme="minorEastAsia" w:eastAsiaTheme="minorEastAsia" w:cstheme="minorEastAsia"/>
          <w:bCs/>
          <w:sz w:val="24"/>
          <w:szCs w:val="24"/>
          <w:highlight w:val="none"/>
          <w:lang w:eastAsia="zh-CN"/>
        </w:rPr>
        <w:t>；</w:t>
      </w:r>
    </w:p>
    <w:p w14:paraId="69CF9720">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3）</w:t>
      </w:r>
      <w:r>
        <w:rPr>
          <w:rFonts w:hint="eastAsia" w:asciiTheme="minorEastAsia" w:hAnsiTheme="minorEastAsia" w:eastAsiaTheme="minorEastAsia" w:cstheme="minorEastAsia"/>
          <w:bCs/>
          <w:sz w:val="24"/>
          <w:szCs w:val="24"/>
          <w:highlight w:val="none"/>
        </w:rPr>
        <w:t>保证施工现场清洁，负责人行道路维护工作</w:t>
      </w:r>
      <w:r>
        <w:rPr>
          <w:rFonts w:hint="eastAsia" w:asciiTheme="minorEastAsia" w:hAnsiTheme="minorEastAsia" w:eastAsiaTheme="minorEastAsia" w:cstheme="minorEastAsia"/>
          <w:bCs/>
          <w:sz w:val="24"/>
          <w:szCs w:val="24"/>
          <w:highlight w:val="none"/>
          <w:lang w:eastAsia="zh-CN"/>
        </w:rPr>
        <w:t>；</w:t>
      </w:r>
    </w:p>
    <w:p w14:paraId="25596DEA">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4）</w:t>
      </w:r>
      <w:r>
        <w:rPr>
          <w:rFonts w:hint="eastAsia" w:asciiTheme="minorEastAsia" w:hAnsiTheme="minorEastAsia" w:eastAsiaTheme="minorEastAsia" w:cstheme="minorEastAsia"/>
          <w:bCs/>
          <w:sz w:val="24"/>
          <w:szCs w:val="24"/>
          <w:highlight w:val="none"/>
        </w:rPr>
        <w:t>按照国家及省市</w:t>
      </w:r>
      <w:r>
        <w:rPr>
          <w:rFonts w:hint="eastAsia" w:asciiTheme="minorEastAsia" w:hAnsiTheme="minorEastAsia" w:eastAsiaTheme="minorEastAsia" w:cstheme="minorEastAsia"/>
          <w:bCs/>
          <w:sz w:val="24"/>
          <w:szCs w:val="24"/>
          <w:highlight w:val="none"/>
          <w:lang w:eastAsia="zh-CN"/>
        </w:rPr>
        <w:t>拆除</w:t>
      </w:r>
      <w:r>
        <w:rPr>
          <w:rFonts w:hint="eastAsia" w:asciiTheme="minorEastAsia" w:hAnsiTheme="minorEastAsia" w:eastAsiaTheme="minorEastAsia" w:cstheme="minorEastAsia"/>
          <w:bCs/>
          <w:sz w:val="24"/>
          <w:szCs w:val="24"/>
          <w:highlight w:val="none"/>
        </w:rPr>
        <w:t>及垃圾清运政策、法规及甲方确认的施工组织设计或施工方案进行文明动员、文明清运</w:t>
      </w:r>
      <w:r>
        <w:rPr>
          <w:rFonts w:hint="eastAsia" w:asciiTheme="minorEastAsia" w:hAnsiTheme="minorEastAsia" w:eastAsiaTheme="minorEastAsia" w:cstheme="minorEastAsia"/>
          <w:bCs/>
          <w:sz w:val="24"/>
          <w:szCs w:val="24"/>
          <w:highlight w:val="none"/>
          <w:lang w:eastAsia="zh-CN"/>
        </w:rPr>
        <w:t>；</w:t>
      </w:r>
    </w:p>
    <w:p w14:paraId="68DE77CC">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5）</w:t>
      </w:r>
      <w:r>
        <w:rPr>
          <w:rFonts w:hint="eastAsia" w:asciiTheme="minorEastAsia" w:hAnsiTheme="minorEastAsia" w:eastAsiaTheme="minorEastAsia" w:cstheme="minorEastAsia"/>
          <w:bCs/>
          <w:sz w:val="24"/>
          <w:szCs w:val="24"/>
          <w:highlight w:val="none"/>
        </w:rPr>
        <w:t>遵守安全防护和文明施工的规定，建立健全安全防护和文明施工的制度，设专职安全员，负责维护施工现场安全，做到安全文明施工等</w:t>
      </w:r>
      <w:r>
        <w:rPr>
          <w:rFonts w:hint="eastAsia" w:asciiTheme="minorEastAsia" w:hAnsiTheme="minorEastAsia" w:eastAsiaTheme="minorEastAsia" w:cstheme="minorEastAsia"/>
          <w:bCs/>
          <w:sz w:val="24"/>
          <w:szCs w:val="24"/>
          <w:highlight w:val="none"/>
          <w:lang w:eastAsia="zh-CN"/>
        </w:rPr>
        <w:t>；</w:t>
      </w:r>
    </w:p>
    <w:p w14:paraId="6165DD59">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6）</w:t>
      </w:r>
      <w:r>
        <w:rPr>
          <w:rFonts w:hint="eastAsia" w:asciiTheme="minorEastAsia" w:hAnsiTheme="minorEastAsia" w:eastAsiaTheme="minorEastAsia" w:cstheme="minorEastAsia"/>
          <w:bCs/>
          <w:sz w:val="24"/>
          <w:szCs w:val="24"/>
          <w:highlight w:val="none"/>
        </w:rPr>
        <w:t>完善安全防护和文明施工条件，施工机械、设备须附检验报告,严格按照安全防护和文明施工的规定组织施工，采取必要的安全防护措施，消除安全事故隐患</w:t>
      </w:r>
      <w:r>
        <w:rPr>
          <w:rFonts w:hint="eastAsia" w:asciiTheme="minorEastAsia" w:hAnsiTheme="minorEastAsia" w:eastAsiaTheme="minorEastAsia" w:cstheme="minorEastAsia"/>
          <w:bCs/>
          <w:sz w:val="24"/>
          <w:szCs w:val="24"/>
          <w:highlight w:val="none"/>
          <w:lang w:eastAsia="zh-CN"/>
        </w:rPr>
        <w:t>；</w:t>
      </w:r>
    </w:p>
    <w:p w14:paraId="790F5E8F">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7）</w:t>
      </w:r>
      <w:r>
        <w:rPr>
          <w:rFonts w:hint="eastAsia" w:asciiTheme="minorEastAsia" w:hAnsiTheme="minorEastAsia" w:eastAsiaTheme="minorEastAsia" w:cstheme="minorEastAsia"/>
          <w:bCs/>
          <w:sz w:val="24"/>
          <w:szCs w:val="24"/>
          <w:highlight w:val="none"/>
        </w:rPr>
        <w:t>在工程实施期间，乙方应做好施工现场的安全警示标志、安全通道的合理布置、材料与设备的存放与保管、消防设施的安全有效、施工现场的照明与防护以及政府有关部门关于安全防护、文明施工规定的其他工作</w:t>
      </w:r>
      <w:r>
        <w:rPr>
          <w:rFonts w:hint="eastAsia" w:asciiTheme="minorEastAsia" w:hAnsiTheme="minorEastAsia" w:eastAsiaTheme="minorEastAsia" w:cstheme="minorEastAsia"/>
          <w:bCs/>
          <w:sz w:val="24"/>
          <w:szCs w:val="24"/>
          <w:highlight w:val="none"/>
          <w:lang w:eastAsia="zh-CN"/>
        </w:rPr>
        <w:t>；</w:t>
      </w:r>
    </w:p>
    <w:p w14:paraId="5D38D5F5">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8）</w:t>
      </w:r>
      <w:r>
        <w:rPr>
          <w:rFonts w:hint="eastAsia" w:asciiTheme="minorEastAsia" w:hAnsiTheme="minorEastAsia" w:eastAsiaTheme="minorEastAsia" w:cstheme="minorEastAsia"/>
          <w:bCs/>
          <w:sz w:val="24"/>
          <w:szCs w:val="24"/>
          <w:highlight w:val="none"/>
        </w:rPr>
        <w:t>按约定收取工程款并出具相应的发票</w:t>
      </w:r>
      <w:r>
        <w:rPr>
          <w:rFonts w:hint="eastAsia" w:asciiTheme="minorEastAsia" w:hAnsiTheme="minorEastAsia" w:eastAsiaTheme="minorEastAsia" w:cstheme="minorEastAsia"/>
          <w:bCs/>
          <w:sz w:val="24"/>
          <w:szCs w:val="24"/>
          <w:highlight w:val="none"/>
          <w:lang w:eastAsia="zh-CN"/>
        </w:rPr>
        <w:t>；</w:t>
      </w:r>
    </w:p>
    <w:p w14:paraId="2C90FF3C">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9）</w:t>
      </w:r>
      <w:r>
        <w:rPr>
          <w:rFonts w:hint="eastAsia" w:asciiTheme="minorEastAsia" w:hAnsiTheme="minorEastAsia" w:eastAsiaTheme="minorEastAsia" w:cstheme="minorEastAsia"/>
          <w:bCs/>
          <w:sz w:val="24"/>
          <w:szCs w:val="24"/>
          <w:highlight w:val="none"/>
        </w:rPr>
        <w:t>工作人员应服从甲方的领导、监督和管理，遵守工作制度和纪律，依法完成工作内容</w:t>
      </w:r>
      <w:r>
        <w:rPr>
          <w:rFonts w:hint="eastAsia" w:asciiTheme="minorEastAsia" w:hAnsiTheme="minorEastAsia" w:eastAsiaTheme="minorEastAsia" w:cstheme="minorEastAsia"/>
          <w:bCs/>
          <w:sz w:val="24"/>
          <w:szCs w:val="24"/>
          <w:highlight w:val="none"/>
          <w:lang w:eastAsia="zh-CN"/>
        </w:rPr>
        <w:t>；</w:t>
      </w:r>
    </w:p>
    <w:p w14:paraId="4AA8C77E">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10）</w:t>
      </w:r>
      <w:r>
        <w:rPr>
          <w:rFonts w:hint="eastAsia" w:asciiTheme="minorEastAsia" w:hAnsiTheme="minorEastAsia" w:eastAsiaTheme="minorEastAsia" w:cstheme="minorEastAsia"/>
          <w:bCs/>
          <w:sz w:val="24"/>
          <w:szCs w:val="24"/>
          <w:highlight w:val="none"/>
        </w:rPr>
        <w:t>施工过程中发生的各种不安全事故或人员伤亡，造成的责任、费用等由乙方完全承担</w:t>
      </w:r>
      <w:r>
        <w:rPr>
          <w:rFonts w:hint="eastAsia" w:asciiTheme="minorEastAsia" w:hAnsiTheme="minorEastAsia" w:eastAsiaTheme="minorEastAsia" w:cstheme="minorEastAsia"/>
          <w:bCs/>
          <w:sz w:val="24"/>
          <w:szCs w:val="24"/>
          <w:highlight w:val="none"/>
          <w:lang w:eastAsia="zh-CN"/>
        </w:rPr>
        <w:t>；</w:t>
      </w:r>
    </w:p>
    <w:p w14:paraId="1B1731EC">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11）</w:t>
      </w:r>
      <w:r>
        <w:rPr>
          <w:rFonts w:hint="eastAsia" w:asciiTheme="minorEastAsia" w:hAnsiTheme="minorEastAsia" w:eastAsiaTheme="minorEastAsia" w:cstheme="minorEastAsia"/>
          <w:bCs/>
          <w:sz w:val="24"/>
          <w:szCs w:val="24"/>
          <w:highlight w:val="none"/>
        </w:rPr>
        <w:t>指派专职项目经理负责联系和处理工作的有关事项，参加协调会，协调合同执行过程中遇到的问题，并配备专职安全员每日巡视现场，安全员必须持证上岗</w:t>
      </w:r>
      <w:r>
        <w:rPr>
          <w:rFonts w:hint="eastAsia" w:asciiTheme="minorEastAsia" w:hAnsiTheme="minorEastAsia" w:eastAsiaTheme="minorEastAsia" w:cstheme="minorEastAsia"/>
          <w:bCs/>
          <w:sz w:val="24"/>
          <w:szCs w:val="24"/>
          <w:highlight w:val="none"/>
          <w:lang w:eastAsia="zh-CN"/>
        </w:rPr>
        <w:t>；</w:t>
      </w:r>
    </w:p>
    <w:p w14:paraId="0CA63A41">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12）</w:t>
      </w:r>
      <w:r>
        <w:rPr>
          <w:rFonts w:hint="eastAsia" w:asciiTheme="minorEastAsia" w:hAnsiTheme="minorEastAsia" w:eastAsiaTheme="minorEastAsia" w:cstheme="minorEastAsia"/>
          <w:bCs/>
          <w:sz w:val="24"/>
          <w:szCs w:val="24"/>
          <w:highlight w:val="none"/>
        </w:rPr>
        <w:t>乙方应严格执行市建尘治发【2017】3号文，西安市建设工地扬尘污染防治专项工作组关于印发西安市建设工地和两类企业扬尘污染防治措施的通知，扬尘污染防治应达到文件要求的达到6个百分百，7个到位。如不能达到相关标准则甲方结算时将对相应</w:t>
      </w:r>
      <w:r>
        <w:rPr>
          <w:rFonts w:hint="eastAsia" w:asciiTheme="minorEastAsia" w:hAnsiTheme="minorEastAsia" w:eastAsiaTheme="minorEastAsia" w:cstheme="minorEastAsia"/>
          <w:bCs/>
          <w:sz w:val="24"/>
          <w:szCs w:val="24"/>
          <w:highlight w:val="none"/>
          <w:lang w:eastAsia="zh-CN"/>
        </w:rPr>
        <w:t>的相关费用予以扣除；</w:t>
      </w:r>
    </w:p>
    <w:p w14:paraId="36CA78F6">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13）</w:t>
      </w:r>
      <w:r>
        <w:rPr>
          <w:rFonts w:hint="eastAsia" w:asciiTheme="minorEastAsia" w:hAnsiTheme="minorEastAsia" w:eastAsiaTheme="minorEastAsia" w:cstheme="minorEastAsia"/>
          <w:bCs/>
          <w:sz w:val="24"/>
          <w:szCs w:val="24"/>
          <w:highlight w:val="none"/>
          <w:lang w:eastAsia="zh-CN"/>
        </w:rPr>
        <w:t>乙方应按时发放农民工工资，甲方有权监督乙方在支付当期进度款中发放农民工工资。如乙方未按时发放农民工工资，影响到本工程的质量和进度，甲方有权从未支付款项中按乙方所拟的工资</w:t>
      </w:r>
      <w:r>
        <w:rPr>
          <w:rFonts w:hint="eastAsia" w:asciiTheme="minorEastAsia" w:hAnsiTheme="minorEastAsia" w:eastAsiaTheme="minorEastAsia" w:cstheme="minorEastAsia"/>
          <w:bCs/>
          <w:sz w:val="24"/>
          <w:szCs w:val="24"/>
          <w:highlight w:val="none"/>
        </w:rPr>
        <w:t>额度直接发放农民工的工资，并按发放金额的50%从乙方的未支付款项中扣除予以处罚</w:t>
      </w:r>
      <w:r>
        <w:rPr>
          <w:rFonts w:hint="eastAsia" w:asciiTheme="minorEastAsia" w:hAnsiTheme="minorEastAsia" w:eastAsiaTheme="minorEastAsia" w:cstheme="minorEastAsia"/>
          <w:bCs/>
          <w:sz w:val="24"/>
          <w:szCs w:val="24"/>
          <w:highlight w:val="none"/>
          <w:lang w:eastAsia="zh-CN"/>
        </w:rPr>
        <w:t>；</w:t>
      </w:r>
    </w:p>
    <w:p w14:paraId="3C5C91B3">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val="en-US" w:eastAsia="zh-CN"/>
        </w:rPr>
        <w:t>14）</w:t>
      </w:r>
      <w:r>
        <w:rPr>
          <w:rFonts w:hint="eastAsia" w:asciiTheme="minorEastAsia" w:hAnsiTheme="minorEastAsia" w:eastAsiaTheme="minorEastAsia" w:cstheme="minorEastAsia"/>
          <w:bCs/>
          <w:sz w:val="24"/>
          <w:szCs w:val="24"/>
          <w:highlight w:val="none"/>
        </w:rPr>
        <w:t>及时向甲方以书面形式汇报</w:t>
      </w:r>
      <w:r>
        <w:rPr>
          <w:rFonts w:hint="eastAsia" w:asciiTheme="minorEastAsia" w:hAnsiTheme="minorEastAsia" w:eastAsiaTheme="minorEastAsia" w:cstheme="minorEastAsia"/>
          <w:bCs/>
          <w:sz w:val="24"/>
          <w:szCs w:val="24"/>
          <w:highlight w:val="none"/>
          <w:lang w:eastAsia="zh-CN"/>
        </w:rPr>
        <w:t>拆除</w:t>
      </w:r>
      <w:r>
        <w:rPr>
          <w:rFonts w:hint="eastAsia" w:asciiTheme="minorEastAsia" w:hAnsiTheme="minorEastAsia" w:eastAsiaTheme="minorEastAsia" w:cstheme="minorEastAsia"/>
          <w:bCs/>
          <w:sz w:val="24"/>
          <w:szCs w:val="24"/>
          <w:highlight w:val="none"/>
        </w:rPr>
        <w:t>及垃圾清运进度、工程量及安全情况</w:t>
      </w:r>
      <w:r>
        <w:rPr>
          <w:rFonts w:hint="eastAsia" w:asciiTheme="minorEastAsia" w:hAnsiTheme="minorEastAsia" w:eastAsiaTheme="minorEastAsia" w:cstheme="minorEastAsia"/>
          <w:bCs/>
          <w:sz w:val="24"/>
          <w:szCs w:val="24"/>
          <w:highlight w:val="none"/>
          <w:lang w:eastAsia="zh-CN"/>
        </w:rPr>
        <w:t>；</w:t>
      </w:r>
    </w:p>
    <w:p w14:paraId="1AD9DAB8">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15）</w:t>
      </w:r>
      <w:r>
        <w:rPr>
          <w:rFonts w:hint="eastAsia" w:asciiTheme="minorEastAsia" w:hAnsiTheme="minorEastAsia" w:eastAsiaTheme="minorEastAsia" w:cstheme="minorEastAsia"/>
          <w:bCs/>
          <w:sz w:val="24"/>
          <w:szCs w:val="24"/>
          <w:highlight w:val="none"/>
        </w:rPr>
        <w:t>完成甲方交办的与工程范围内有关的其它临时性工作。</w:t>
      </w:r>
    </w:p>
    <w:p w14:paraId="5B2777EC">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lang w:eastAsia="zh-CN"/>
        </w:rPr>
        <w:t>第十条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 xml:space="preserve"> 违约责任</w:t>
      </w:r>
    </w:p>
    <w:p w14:paraId="1A6785EF">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1</w:t>
      </w:r>
      <w:r>
        <w:rPr>
          <w:rFonts w:hint="eastAsia" w:asciiTheme="minorEastAsia" w:hAnsiTheme="minorEastAsia" w:eastAsiaTheme="minorEastAsia" w:cstheme="minorEastAsia"/>
          <w:b w:val="0"/>
          <w:bCs w:val="0"/>
          <w:sz w:val="24"/>
          <w:szCs w:val="24"/>
          <w:highlight w:val="none"/>
          <w:lang w:val="en-US" w:eastAsia="zh-CN"/>
        </w:rPr>
        <w:t>.</w:t>
      </w:r>
      <w:r>
        <w:rPr>
          <w:rFonts w:hint="eastAsia" w:asciiTheme="minorEastAsia" w:hAnsiTheme="minorEastAsia" w:eastAsiaTheme="minorEastAsia" w:cstheme="minorEastAsia"/>
          <w:b w:val="0"/>
          <w:bCs w:val="0"/>
          <w:sz w:val="24"/>
          <w:szCs w:val="24"/>
          <w:highlight w:val="none"/>
        </w:rPr>
        <w:t>乙方未能按时竣工的，每延期一日应按结算总价款的3‰</w:t>
      </w:r>
      <w:r>
        <w:rPr>
          <w:rFonts w:hint="eastAsia" w:asciiTheme="minorEastAsia" w:hAnsiTheme="minorEastAsia" w:eastAsiaTheme="minorEastAsia" w:cstheme="minorEastAsia"/>
          <w:b w:val="0"/>
          <w:bCs w:val="0"/>
          <w:sz w:val="24"/>
          <w:szCs w:val="24"/>
          <w:highlight w:val="none"/>
          <w:lang w:val="en-US" w:eastAsia="zh-CN"/>
        </w:rPr>
        <w:t>/</w:t>
      </w:r>
      <w:r>
        <w:rPr>
          <w:rFonts w:hint="eastAsia" w:asciiTheme="minorEastAsia" w:hAnsiTheme="minorEastAsia" w:eastAsiaTheme="minorEastAsia" w:cstheme="minorEastAsia"/>
          <w:b w:val="0"/>
          <w:bCs w:val="0"/>
          <w:sz w:val="24"/>
          <w:szCs w:val="24"/>
          <w:highlight w:val="none"/>
        </w:rPr>
        <w:t>天向甲方支付违约金（甲方有权从未支付款项中扣除）；无故延期15日以上视为根本性违约，甲方有权解除本合同，乙方除应全额退还甲方已支付的工程款外，还应向甲方支付违约金。</w:t>
      </w:r>
    </w:p>
    <w:p w14:paraId="77813265">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2</w:t>
      </w:r>
      <w:r>
        <w:rPr>
          <w:rFonts w:hint="eastAsia" w:asciiTheme="minorEastAsia" w:hAnsiTheme="minorEastAsia" w:eastAsiaTheme="minorEastAsia" w:cstheme="minorEastAsia"/>
          <w:b w:val="0"/>
          <w:bCs w:val="0"/>
          <w:sz w:val="24"/>
          <w:szCs w:val="24"/>
          <w:highlight w:val="none"/>
          <w:lang w:val="en-US" w:eastAsia="zh-CN"/>
        </w:rPr>
        <w:t>.</w:t>
      </w:r>
      <w:r>
        <w:rPr>
          <w:rFonts w:hint="eastAsia" w:asciiTheme="minorEastAsia" w:hAnsiTheme="minorEastAsia" w:eastAsiaTheme="minorEastAsia" w:cstheme="minorEastAsia"/>
          <w:b w:val="0"/>
          <w:bCs w:val="0"/>
          <w:sz w:val="24"/>
          <w:szCs w:val="24"/>
          <w:highlight w:val="none"/>
        </w:rPr>
        <w:t>工程出现质量问题视为乙方严重违约，视情节轻重乙方应按工程款的10%-30%向甲方支付违约金（甲方有权从未支付款项中扣除），此外应赔偿因此给甲方造成的损失。</w:t>
      </w:r>
    </w:p>
    <w:p w14:paraId="23318917">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 w:val="0"/>
          <w:bCs w:val="0"/>
          <w:sz w:val="24"/>
          <w:szCs w:val="24"/>
          <w:highlight w:val="none"/>
        </w:rPr>
      </w:pPr>
      <w:r>
        <w:rPr>
          <w:rFonts w:hint="eastAsia" w:asciiTheme="minorEastAsia" w:hAnsiTheme="minorEastAsia" w:eastAsiaTheme="minorEastAsia" w:cstheme="minorEastAsia"/>
          <w:b w:val="0"/>
          <w:bCs w:val="0"/>
          <w:sz w:val="24"/>
          <w:szCs w:val="24"/>
          <w:highlight w:val="none"/>
        </w:rPr>
        <w:t>3</w:t>
      </w:r>
      <w:r>
        <w:rPr>
          <w:rFonts w:hint="eastAsia" w:asciiTheme="minorEastAsia" w:hAnsiTheme="minorEastAsia" w:eastAsiaTheme="minorEastAsia" w:cstheme="minorEastAsia"/>
          <w:b w:val="0"/>
          <w:bCs w:val="0"/>
          <w:sz w:val="24"/>
          <w:szCs w:val="24"/>
          <w:highlight w:val="none"/>
          <w:lang w:val="en-US" w:eastAsia="zh-CN"/>
        </w:rPr>
        <w:t>.</w:t>
      </w:r>
      <w:r>
        <w:rPr>
          <w:rFonts w:hint="eastAsia" w:asciiTheme="minorEastAsia" w:hAnsiTheme="minorEastAsia" w:eastAsiaTheme="minorEastAsia" w:cstheme="minorEastAsia"/>
          <w:b w:val="0"/>
          <w:bCs w:val="0"/>
          <w:sz w:val="24"/>
          <w:szCs w:val="24"/>
          <w:highlight w:val="none"/>
        </w:rPr>
        <w:t>乙方擅自解除或终止本合同的，乙方应按结算总价款的20%向甲方支付违约金。</w:t>
      </w:r>
    </w:p>
    <w:p w14:paraId="722FF855">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bCs/>
          <w:sz w:val="24"/>
          <w:szCs w:val="24"/>
          <w:highlight w:val="none"/>
          <w:lang w:eastAsia="zh-CN"/>
        </w:rPr>
        <w:t>第十一条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 xml:space="preserve"> 纠纷解决办法</w:t>
      </w:r>
    </w:p>
    <w:p w14:paraId="6E89AEC3">
      <w:pPr>
        <w:keepNext w:val="0"/>
        <w:keepLines w:val="0"/>
        <w:pageBreakBefore w:val="0"/>
        <w:wordWrap/>
        <w:overflowPunct/>
        <w:topLinePunct w:val="0"/>
        <w:bidi w:val="0"/>
        <w:spacing w:line="360"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因本合同产生纠纷，如协商无法解决，双方均有权向甲方所在地人民法院提起诉讼。</w:t>
      </w:r>
    </w:p>
    <w:p w14:paraId="3AEF04C7">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
          <w:bCs/>
          <w:sz w:val="24"/>
          <w:szCs w:val="24"/>
          <w:highlight w:val="none"/>
          <w:lang w:eastAsia="zh-CN"/>
        </w:rPr>
      </w:pPr>
      <w:r>
        <w:rPr>
          <w:rFonts w:hint="eastAsia" w:asciiTheme="minorEastAsia" w:hAnsiTheme="minorEastAsia" w:eastAsiaTheme="minorEastAsia" w:cstheme="minorEastAsia"/>
          <w:b/>
          <w:bCs/>
          <w:sz w:val="24"/>
          <w:szCs w:val="24"/>
          <w:highlight w:val="none"/>
          <w:lang w:eastAsia="zh-CN"/>
        </w:rPr>
        <w:t>第十二条　监督和管理</w:t>
      </w:r>
    </w:p>
    <w:p w14:paraId="2F5EC778">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DA83757">
      <w:pPr>
        <w:keepNext w:val="0"/>
        <w:keepLines w:val="0"/>
        <w:pageBreakBefore w:val="0"/>
        <w:widowControl/>
        <w:kinsoku/>
        <w:wordWrap/>
        <w:overflowPunct w:val="0"/>
        <w:topLinePunct w:val="0"/>
        <w:autoSpaceDE w:val="0"/>
        <w:autoSpaceDN w:val="0"/>
        <w:bidi w:val="0"/>
        <w:adjustRightInd w:val="0"/>
        <w:snapToGrid w:val="0"/>
        <w:spacing w:line="384" w:lineRule="auto"/>
        <w:ind w:firstLine="480" w:firstLineChars="200"/>
        <w:textAlignment w:val="baseline"/>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2</w:t>
      </w:r>
      <w:r>
        <w:rPr>
          <w:rFonts w:hint="eastAsia" w:asciiTheme="minorEastAsia" w:hAnsiTheme="minorEastAsia" w:eastAsiaTheme="minorEastAsia" w:cstheme="minorEastAsia"/>
          <w:bCs/>
          <w:sz w:val="24"/>
          <w:szCs w:val="24"/>
          <w:highlight w:val="none"/>
          <w:lang w:val="en-US" w:eastAsia="zh-CN"/>
        </w:rPr>
        <w:t>.</w:t>
      </w:r>
      <w:r>
        <w:rPr>
          <w:rFonts w:hint="eastAsia" w:asciiTheme="minorEastAsia" w:hAnsiTheme="minorEastAsia" w:eastAsiaTheme="minorEastAsia" w:cstheme="minorEastAsia"/>
          <w:bCs/>
          <w:sz w:val="24"/>
          <w:szCs w:val="24"/>
          <w:highlight w:val="none"/>
        </w:rPr>
        <w:t>甲乙双方均应自觉配合有关监督管理部门对合同履行情况的监督检查，如实反映情况，提供有关资料；否则，将对有关单位、当事人按照有关规定予以处罚。</w:t>
      </w:r>
    </w:p>
    <w:p w14:paraId="19824A78">
      <w:pPr>
        <w:keepNext w:val="0"/>
        <w:keepLines w:val="0"/>
        <w:pageBreakBefore w:val="0"/>
        <w:widowControl w:val="0"/>
        <w:kinsoku/>
        <w:wordWrap/>
        <w:overflowPunct/>
        <w:topLinePunct w:val="0"/>
        <w:autoSpaceDE/>
        <w:autoSpaceDN/>
        <w:bidi w:val="0"/>
        <w:adjustRightInd/>
        <w:snapToGrid/>
        <w:spacing w:before="157" w:beforeLines="50" w:after="157" w:afterLines="50" w:line="384" w:lineRule="auto"/>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
          <w:sz w:val="24"/>
          <w:szCs w:val="24"/>
          <w:highlight w:val="none"/>
        </w:rPr>
        <w:t>第十</w:t>
      </w:r>
      <w:r>
        <w:rPr>
          <w:rFonts w:hint="eastAsia" w:asciiTheme="minorEastAsia" w:hAnsiTheme="minorEastAsia" w:eastAsiaTheme="minorEastAsia" w:cstheme="minorEastAsia"/>
          <w:b/>
          <w:sz w:val="24"/>
          <w:szCs w:val="24"/>
          <w:highlight w:val="none"/>
          <w:lang w:eastAsia="zh-CN"/>
        </w:rPr>
        <w:t>三</w:t>
      </w:r>
      <w:r>
        <w:rPr>
          <w:rFonts w:hint="eastAsia" w:asciiTheme="minorEastAsia" w:hAnsiTheme="minorEastAsia" w:eastAsiaTheme="minorEastAsia" w:cstheme="minorEastAsia"/>
          <w:b/>
          <w:sz w:val="24"/>
          <w:szCs w:val="24"/>
          <w:highlight w:val="none"/>
        </w:rPr>
        <w:t>条  附  则</w:t>
      </w:r>
    </w:p>
    <w:p w14:paraId="23136121">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一、</w:t>
      </w:r>
      <w:r>
        <w:rPr>
          <w:rFonts w:hint="eastAsia" w:asciiTheme="minorEastAsia" w:hAnsiTheme="minorEastAsia" w:eastAsiaTheme="minorEastAsia" w:cstheme="minorEastAsia"/>
          <w:bCs/>
          <w:sz w:val="24"/>
          <w:szCs w:val="24"/>
          <w:highlight w:val="none"/>
        </w:rPr>
        <w:t>甲方代表为</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rPr>
        <w:t>，乙方代表为</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rPr>
        <w:t>。</w:t>
      </w:r>
    </w:p>
    <w:p w14:paraId="4D67A018">
      <w:pPr>
        <w:keepNext w:val="0"/>
        <w:keepLines w:val="0"/>
        <w:pageBreakBefore w:val="0"/>
        <w:wordWrap/>
        <w:overflowPunct/>
        <w:topLinePunct w:val="0"/>
        <w:bidi w:val="0"/>
        <w:spacing w:line="384"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val="en-US" w:eastAsia="zh-CN"/>
        </w:rPr>
        <w:t>二、</w:t>
      </w:r>
      <w:r>
        <w:rPr>
          <w:rFonts w:hint="eastAsia" w:asciiTheme="minorEastAsia" w:hAnsiTheme="minorEastAsia" w:eastAsiaTheme="minorEastAsia" w:cstheme="minorEastAsia"/>
          <w:bCs/>
          <w:sz w:val="24"/>
          <w:szCs w:val="24"/>
          <w:highlight w:val="none"/>
        </w:rPr>
        <w:t>本合同一式</w:t>
      </w:r>
      <w:r>
        <w:rPr>
          <w:rFonts w:hint="eastAsia" w:asciiTheme="minorEastAsia" w:hAnsiTheme="minorEastAsia" w:eastAsiaTheme="minorEastAsia" w:cstheme="minorEastAsia"/>
          <w:bCs/>
          <w:sz w:val="24"/>
          <w:szCs w:val="24"/>
          <w:highlight w:val="none"/>
          <w:lang w:eastAsia="zh-CN"/>
        </w:rPr>
        <w:t>陆</w:t>
      </w:r>
      <w:r>
        <w:rPr>
          <w:rFonts w:hint="eastAsia" w:asciiTheme="minorEastAsia" w:hAnsiTheme="minorEastAsia" w:eastAsiaTheme="minorEastAsia" w:cstheme="minorEastAsia"/>
          <w:bCs/>
          <w:sz w:val="24"/>
          <w:szCs w:val="24"/>
          <w:highlight w:val="none"/>
        </w:rPr>
        <w:t>份,甲乙双方各执</w:t>
      </w:r>
      <w:r>
        <w:rPr>
          <w:rFonts w:hint="eastAsia" w:asciiTheme="minorEastAsia" w:hAnsiTheme="minorEastAsia" w:eastAsiaTheme="minorEastAsia" w:cstheme="minorEastAsia"/>
          <w:bCs/>
          <w:sz w:val="24"/>
          <w:szCs w:val="24"/>
          <w:highlight w:val="none"/>
          <w:lang w:eastAsia="zh-CN"/>
        </w:rPr>
        <w:t>两</w:t>
      </w:r>
      <w:r>
        <w:rPr>
          <w:rFonts w:hint="eastAsia" w:asciiTheme="minorEastAsia" w:hAnsiTheme="minorEastAsia" w:eastAsiaTheme="minorEastAsia" w:cstheme="minorEastAsia"/>
          <w:bCs/>
          <w:sz w:val="24"/>
          <w:szCs w:val="24"/>
          <w:highlight w:val="none"/>
        </w:rPr>
        <w:t>份,采购代理机构两份</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rPr>
        <w:t>自双方代表签字，加盖双方公章或合同专用章后生效。</w:t>
      </w:r>
    </w:p>
    <w:p w14:paraId="5E0FED01">
      <w:pPr>
        <w:keepNext w:val="0"/>
        <w:keepLines w:val="0"/>
        <w:pageBreakBefore w:val="0"/>
        <w:wordWrap/>
        <w:overflowPunct/>
        <w:topLinePunct w:val="0"/>
        <w:bidi w:val="0"/>
        <w:spacing w:line="384" w:lineRule="auto"/>
        <w:rPr>
          <w:rFonts w:hint="eastAsia" w:asciiTheme="minorEastAsia" w:hAnsiTheme="minorEastAsia" w:eastAsiaTheme="minorEastAsia" w:cstheme="minorEastAsia"/>
          <w:sz w:val="24"/>
          <w:szCs w:val="24"/>
          <w:highlight w:val="none"/>
        </w:rPr>
      </w:pPr>
    </w:p>
    <w:p w14:paraId="3DA2605D">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u w:val="single"/>
        </w:rPr>
      </w:pPr>
      <w:r>
        <w:rPr>
          <w:rFonts w:hint="eastAsia" w:asciiTheme="minorEastAsia" w:hAnsiTheme="minorEastAsia" w:eastAsiaTheme="minorEastAsia" w:cstheme="minorEastAsia"/>
          <w:bCs/>
          <w:sz w:val="24"/>
          <w:szCs w:val="24"/>
          <w:highlight w:val="none"/>
        </w:rPr>
        <w:t>采购人：</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rPr>
        <w:t>（公章）</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lang w:eastAsia="zh-CN"/>
        </w:rPr>
        <w:t>成交供应商</w:t>
      </w:r>
      <w:r>
        <w:rPr>
          <w:rFonts w:hint="eastAsia" w:asciiTheme="minorEastAsia" w:hAnsiTheme="minorEastAsia" w:eastAsiaTheme="minorEastAsia" w:cstheme="minorEastAsia"/>
          <w:bCs/>
          <w:sz w:val="24"/>
          <w:szCs w:val="24"/>
          <w:highlight w:val="none"/>
        </w:rPr>
        <w:t>：</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rPr>
        <w:t>（公章）</w:t>
      </w:r>
    </w:p>
    <w:p w14:paraId="3D0D87B7">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rPr>
        <w:t>地  址：</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 xml:space="preserve"> 地  址：</w:t>
      </w:r>
      <w:r>
        <w:rPr>
          <w:rFonts w:hint="eastAsia" w:asciiTheme="minorEastAsia" w:hAnsiTheme="minorEastAsia" w:eastAsiaTheme="minorEastAsia" w:cstheme="minorEastAsia"/>
          <w:bCs/>
          <w:sz w:val="24"/>
          <w:szCs w:val="24"/>
          <w:highlight w:val="none"/>
          <w:u w:val="single"/>
          <w:lang w:val="en-US" w:eastAsia="zh-CN"/>
        </w:rPr>
        <w:t xml:space="preserve">                          </w:t>
      </w:r>
    </w:p>
    <w:p w14:paraId="07AF011B">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rPr>
        <w:t>邮政编码：</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 xml:space="preserve"> 邮政编码：</w:t>
      </w:r>
      <w:r>
        <w:rPr>
          <w:rFonts w:hint="eastAsia" w:asciiTheme="minorEastAsia" w:hAnsiTheme="minorEastAsia" w:eastAsiaTheme="minorEastAsia" w:cstheme="minorEastAsia"/>
          <w:bCs/>
          <w:sz w:val="24"/>
          <w:szCs w:val="24"/>
          <w:highlight w:val="none"/>
          <w:u w:val="single"/>
          <w:lang w:val="en-US" w:eastAsia="zh-CN"/>
        </w:rPr>
        <w:t xml:space="preserve">                       </w:t>
      </w:r>
    </w:p>
    <w:p w14:paraId="490E7C9B">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rPr>
        <w:t>法定代表人：</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 xml:space="preserve">  法定代表人：</w:t>
      </w:r>
      <w:r>
        <w:rPr>
          <w:rFonts w:hint="eastAsia" w:asciiTheme="minorEastAsia" w:hAnsiTheme="minorEastAsia" w:eastAsiaTheme="minorEastAsia" w:cstheme="minorEastAsia"/>
          <w:bCs/>
          <w:sz w:val="24"/>
          <w:szCs w:val="24"/>
          <w:highlight w:val="none"/>
          <w:u w:val="single"/>
          <w:lang w:val="en-US" w:eastAsia="zh-CN"/>
        </w:rPr>
        <w:t xml:space="preserve">                     </w:t>
      </w:r>
    </w:p>
    <w:p w14:paraId="697601FD">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u w:val="single"/>
          <w:lang w:val="en-US" w:eastAsia="zh-CN"/>
        </w:rPr>
      </w:pPr>
      <w:r>
        <w:rPr>
          <w:rFonts w:hint="eastAsia" w:asciiTheme="minorEastAsia" w:hAnsiTheme="minorEastAsia" w:eastAsiaTheme="minorEastAsia" w:cstheme="minorEastAsia"/>
          <w:bCs/>
          <w:sz w:val="24"/>
          <w:szCs w:val="24"/>
          <w:highlight w:val="none"/>
        </w:rPr>
        <w:t>委托代理人：</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 xml:space="preserve"> 委托代理人：</w:t>
      </w:r>
      <w:r>
        <w:rPr>
          <w:rFonts w:hint="eastAsia" w:asciiTheme="minorEastAsia" w:hAnsiTheme="minorEastAsia" w:eastAsiaTheme="minorEastAsia" w:cstheme="minorEastAsia"/>
          <w:bCs/>
          <w:sz w:val="24"/>
          <w:szCs w:val="24"/>
          <w:highlight w:val="none"/>
          <w:u w:val="single"/>
          <w:lang w:val="en-US" w:eastAsia="zh-CN"/>
        </w:rPr>
        <w:t xml:space="preserve">                     </w:t>
      </w:r>
    </w:p>
    <w:p w14:paraId="6CDD1DB2">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u w:val="single"/>
        </w:rPr>
      </w:pPr>
      <w:r>
        <w:rPr>
          <w:rFonts w:hint="eastAsia" w:asciiTheme="minorEastAsia" w:hAnsiTheme="minorEastAsia" w:eastAsiaTheme="minorEastAsia" w:cstheme="minorEastAsia"/>
          <w:bCs/>
          <w:sz w:val="24"/>
          <w:szCs w:val="24"/>
          <w:highlight w:val="none"/>
        </w:rPr>
        <w:t>电    话：</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 xml:space="preserve">  电    话：</w:t>
      </w:r>
      <w:r>
        <w:rPr>
          <w:rFonts w:hint="eastAsia" w:asciiTheme="minorEastAsia" w:hAnsiTheme="minorEastAsia" w:eastAsiaTheme="minorEastAsia" w:cstheme="minorEastAsia"/>
          <w:bCs/>
          <w:sz w:val="24"/>
          <w:szCs w:val="24"/>
          <w:highlight w:val="none"/>
          <w:u w:val="single"/>
          <w:lang w:val="en-US" w:eastAsia="zh-CN"/>
        </w:rPr>
        <w:t xml:space="preserve">                     </w:t>
      </w:r>
    </w:p>
    <w:p w14:paraId="32371C1C">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传    真：</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传    真：</w:t>
      </w:r>
      <w:r>
        <w:rPr>
          <w:rFonts w:hint="eastAsia" w:asciiTheme="minorEastAsia" w:hAnsiTheme="minorEastAsia" w:eastAsiaTheme="minorEastAsia" w:cstheme="minorEastAsia"/>
          <w:bCs/>
          <w:sz w:val="24"/>
          <w:szCs w:val="24"/>
          <w:highlight w:val="none"/>
          <w:u w:val="single"/>
          <w:lang w:val="en-US" w:eastAsia="zh-CN"/>
        </w:rPr>
        <w:t xml:space="preserve">                     </w:t>
      </w:r>
    </w:p>
    <w:p w14:paraId="61DB76C5">
      <w:pPr>
        <w:keepNext w:val="0"/>
        <w:keepLines w:val="0"/>
        <w:pageBreakBefore w:val="0"/>
        <w:wordWrap/>
        <w:overflowPunct/>
        <w:topLinePunct w:val="0"/>
        <w:bidi w:val="0"/>
        <w:spacing w:line="384" w:lineRule="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开户银行：</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i/>
          <w:iCs/>
          <w:sz w:val="24"/>
          <w:szCs w:val="24"/>
          <w:highlight w:val="none"/>
          <w:u w:val="none"/>
          <w:lang w:val="en-US" w:eastAsia="zh-CN"/>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开户银行：</w:t>
      </w:r>
      <w:r>
        <w:rPr>
          <w:rFonts w:hint="eastAsia" w:asciiTheme="minorEastAsia" w:hAnsiTheme="minorEastAsia" w:eastAsiaTheme="minorEastAsia" w:cstheme="minorEastAsia"/>
          <w:bCs/>
          <w:sz w:val="24"/>
          <w:szCs w:val="24"/>
          <w:highlight w:val="none"/>
          <w:u w:val="single"/>
          <w:lang w:val="en-US" w:eastAsia="zh-CN"/>
        </w:rPr>
        <w:t xml:space="preserve">                     </w:t>
      </w:r>
    </w:p>
    <w:p w14:paraId="44C26720">
      <w:pPr>
        <w:keepNext w:val="0"/>
        <w:keepLines w:val="0"/>
        <w:pageBreakBefore w:val="0"/>
        <w:widowControl w:val="0"/>
        <w:kinsoku w:val="0"/>
        <w:wordWrap/>
        <w:overflowPunct/>
        <w:topLinePunct w:val="0"/>
        <w:autoSpaceDE/>
        <w:autoSpaceDN/>
        <w:bidi w:val="0"/>
        <w:spacing w:line="384" w:lineRule="auto"/>
        <w:textAlignment w:val="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帐    号：</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none"/>
        </w:rPr>
        <w:t xml:space="preserve"> </w:t>
      </w:r>
      <w:r>
        <w:rPr>
          <w:rFonts w:hint="eastAsia" w:asciiTheme="minorEastAsia" w:hAnsiTheme="minorEastAsia" w:eastAsiaTheme="minorEastAsia" w:cstheme="minorEastAsia"/>
          <w:bCs/>
          <w:sz w:val="24"/>
          <w:szCs w:val="24"/>
          <w:highlight w:val="none"/>
        </w:rPr>
        <w:t xml:space="preserve"> </w:t>
      </w:r>
      <w:r>
        <w:rPr>
          <w:rFonts w:hint="eastAsia" w:asciiTheme="minorEastAsia" w:hAnsiTheme="minorEastAsia" w:eastAsiaTheme="minorEastAsia" w:cstheme="minorEastAsia"/>
          <w:bCs/>
          <w:sz w:val="24"/>
          <w:szCs w:val="24"/>
          <w:highlight w:val="none"/>
          <w:lang w:val="en-US" w:eastAsia="zh-CN"/>
        </w:rPr>
        <w:t xml:space="preserve"> </w:t>
      </w:r>
      <w:r>
        <w:rPr>
          <w:rFonts w:hint="eastAsia" w:asciiTheme="minorEastAsia" w:hAnsiTheme="minorEastAsia" w:eastAsiaTheme="minorEastAsia" w:cstheme="minorEastAsia"/>
          <w:bCs/>
          <w:sz w:val="24"/>
          <w:szCs w:val="24"/>
          <w:highlight w:val="none"/>
        </w:rPr>
        <w:t xml:space="preserve"> 帐    号：</w:t>
      </w:r>
      <w:r>
        <w:rPr>
          <w:rFonts w:hint="eastAsia" w:asciiTheme="minorEastAsia" w:hAnsiTheme="minorEastAsia" w:eastAsiaTheme="minorEastAsia" w:cstheme="minorEastAsia"/>
          <w:bCs/>
          <w:sz w:val="24"/>
          <w:szCs w:val="24"/>
          <w:highlight w:val="none"/>
          <w:u w:val="single"/>
          <w:lang w:val="en-US" w:eastAsia="zh-CN"/>
        </w:rPr>
        <w:t xml:space="preserve">                     </w:t>
      </w:r>
    </w:p>
    <w:p w14:paraId="2D7C569A"/>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3951BC"/>
    <w:rsid w:val="353951BC"/>
    <w:rsid w:val="38702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3">
    <w:name w:val="toc 4"/>
    <w:basedOn w:val="1"/>
    <w:next w:val="1"/>
    <w:unhideWhenUsed/>
    <w:qFormat/>
    <w:uiPriority w:val="39"/>
    <w:pPr>
      <w:ind w:left="1260" w:leftChars="600"/>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character" w:customStyle="1" w:styleId="8">
    <w:name w:val="NormalCharacter"/>
    <w:qFormat/>
    <w:uiPriority w:val="0"/>
    <w:rPr>
      <w:rFonts w:ascii="Calibri" w:hAnsi="Calibr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3579</Words>
  <Characters>3672</Characters>
  <Lines>0</Lines>
  <Paragraphs>0</Paragraphs>
  <TotalTime>0</TotalTime>
  <ScaleCrop>false</ScaleCrop>
  <LinksUpToDate>false</LinksUpToDate>
  <CharactersWithSpaces>4256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2025-08-19T08:33:00Z</dcterms:created>
  <dc:creator>YIN</dc:creator>
  <cp:lastModifiedBy>哆啦</cp:lastModifiedBy>
  <dcterms:modified xsi:type="dcterms:W3CDTF">2025-08-20T06:46:36Z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7478684DDD6F4F628BC3CB720AFC163C_11</vt:lpwstr>
  </property>
  <property fmtid="{D5CDD505-2E9C-101B-9397-08002B2CF9AE}" pid="4" name="KSOTemplateDocerSaveRecord">
    <vt:lpwstr>eyJoZGlkIjoiZDJkZGMxZTMzOTc1Yjk5ZGU5NDQ2MTkzN2ZhOGJjMTciLCJ1c2VySWQiOiI1OTYzODM3NjIifQ==</vt:lpwstr>
  </property>
</Properties>
</file>