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版本号：CGZC-2025-07720250901001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信息系统及国产计算机运维项目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CGZC-2025-077</w:t>
      </w:r>
      <w:r>
        <w:br/>
      </w:r>
      <w:r>
        <w:br/>
      </w:r>
      <w:r>
        <w:br/>
      </w:r>
    </w:p>
    <w:p>
      <w:pPr>
        <w:pStyle w:val="null3"/>
        <w:jc w:val="center"/>
        <w:outlineLvl w:val="2"/>
      </w:pPr>
      <w:r>
        <w:rPr>
          <w:rFonts w:ascii="仿宋_GB2312" w:hAnsi="仿宋_GB2312" w:cs="仿宋_GB2312" w:eastAsia="仿宋_GB2312"/>
          <w:sz w:val="28"/>
          <w:b/>
        </w:rPr>
        <w:t>西安浐灞国际港党政办公室</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西安浐灞国际港党政办公室</w:t>
      </w:r>
      <w:r>
        <w:rPr>
          <w:rFonts w:ascii="仿宋_GB2312" w:hAnsi="仿宋_GB2312" w:cs="仿宋_GB2312" w:eastAsia="仿宋_GB2312"/>
        </w:rPr>
        <w:t>委托，拟对</w:t>
      </w:r>
      <w:r>
        <w:rPr>
          <w:rFonts w:ascii="仿宋_GB2312" w:hAnsi="仿宋_GB2312" w:cs="仿宋_GB2312" w:eastAsia="仿宋_GB2312"/>
        </w:rPr>
        <w:t>信息系统及国产计算机运维项目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信息系统及国产计算机运维项目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本项目采购信息系统及国产计算机运维项目，其中合同包1：政务公开监测及官方网站运维服务，合同包2：政务协同办公系统运维服务，合同包3:国产化计算机软硬件运维服务。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采购包1（信息系统及国产计算机运维项目（合同包1））：属于专门面向中小企业采购。</w:t>
      </w:r>
    </w:p>
    <w:p>
      <w:pPr>
        <w:pStyle w:val="null3"/>
      </w:pPr>
      <w:r>
        <w:rPr>
          <w:rFonts w:ascii="仿宋_GB2312" w:hAnsi="仿宋_GB2312" w:cs="仿宋_GB2312" w:eastAsia="仿宋_GB2312"/>
        </w:rPr>
        <w:t>采购包2（信息系统及国产计算机运维项目（合同包2））：属于专门面向中小企业采购。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 ：法定代表人授权书（附法定代表人、被授权人身份证复印件）（法定代表人直接参加磋商，须提供法定代表人身份证明）；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 ：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 ：本项目不接受联合体磋商。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 ：法定代表人授权书（附法定代表人、被授权人身份证复印件）（法定代表人直接参加磋商，须提供法定代表人身份证明）；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 ：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 ：本项目不接受联合体磋商。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1、法定代表人授权书/法定代表人身份证明 ：法定代表人授权书（附法定代表人、被授权人身份证复印件）（法定代表人直接参加磋商，须提供法定代表人身份证明）；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 ：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 ：本项目不接受联合体磋商。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029-83592172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029-83332439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西安浐灞国际港党政办公室</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西安浐灞国际港党政办公室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本项目采购信息系统及国产计算机运维项目，其中合同包1：政务公开监测及官方网站运维服务，合同包2：政务协同办公系统运维服务，合同包3:国产化计算机软硬件运维服务。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政务公开监测及官方网站运维服务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政务协同办公系统运维服务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国产化计算机软硬件运维服务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标的名称：政务公开监测及官方网站运维服务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pPr>
            <w:r>
              <w:rPr>
                <w:rFonts w:ascii="仿宋_GB2312" w:hAnsi="仿宋_GB2312" w:cs="仿宋_GB2312" w:eastAsia="仿宋_GB2312"/>
              </w:rPr>
              <w:t>项目概况</w:t>
            </w:r>
          </w:p>
          <w:p>
            <w:pPr>
              <w:pStyle w:val="null3"/>
            </w:pPr>
            <w:r>
              <w:rPr>
                <w:rFonts w:ascii="仿宋_GB2312" w:hAnsi="仿宋_GB2312" w:cs="仿宋_GB2312" w:eastAsia="仿宋_GB2312"/>
              </w:rPr>
              <w:t>为确保政务公开工作顺利开展，本次需采购网站运维服务，按照国办、省、市政务公开及网站建设相关规定要求，结合具体需求对门户网站进行专业运维。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15"/>
            </w:pPr>
            <w:r>
              <w:rPr>
                <w:rFonts w:ascii="仿宋_GB2312" w:hAnsi="仿宋_GB2312" w:cs="仿宋_GB2312" w:eastAsia="仿宋_GB2312"/>
              </w:rPr>
              <w:t>服务内容</w:t>
            </w:r>
          </w:p>
          <w:p>
            <w:pPr>
              <w:pStyle w:val="null3"/>
            </w:pPr>
            <w:r>
              <w:rPr>
                <w:rFonts w:ascii="仿宋_GB2312" w:hAnsi="仿宋_GB2312" w:cs="仿宋_GB2312" w:eastAsia="仿宋_GB2312"/>
              </w:rPr>
              <w:t>1.网站日常运维服务。提供网站问题诊断修改、页面/栏目及内容优化调整、图片设计制作、统计分析、用户权限维护、安全维护、咨询指导、重保运维、网站培训等服务。</w:t>
            </w:r>
          </w:p>
          <w:p>
            <w:pPr>
              <w:pStyle w:val="null3"/>
            </w:pPr>
            <w:r>
              <w:rPr>
                <w:rFonts w:ascii="仿宋_GB2312" w:hAnsi="仿宋_GB2312" w:cs="仿宋_GB2312" w:eastAsia="仿宋_GB2312"/>
              </w:rPr>
              <w:t>2.专题专栏设计制作。根据中省市要求及管委会重点工作和热点活动需要，规划建设网站专题专栏，提供专题专栏策划与制作服务。数量不少于3个/年。</w:t>
            </w:r>
          </w:p>
          <w:p>
            <w:pPr>
              <w:pStyle w:val="null3"/>
            </w:pPr>
            <w:r>
              <w:rPr>
                <w:rFonts w:ascii="仿宋_GB2312" w:hAnsi="仿宋_GB2312" w:cs="仿宋_GB2312" w:eastAsia="仿宋_GB2312"/>
              </w:rPr>
              <w:t>3.政策图解服务。开展管委会相关政策、重要文件、政府会议、统计数据等重点信息政策图表图解的设计、制作和发布。数量不少于15个/年。</w:t>
            </w:r>
          </w:p>
          <w:p>
            <w:pPr>
              <w:pStyle w:val="null3"/>
            </w:pPr>
            <w:r>
              <w:rPr>
                <w:rFonts w:ascii="仿宋_GB2312" w:hAnsi="仿宋_GB2312" w:cs="仿宋_GB2312" w:eastAsia="仿宋_GB2312"/>
              </w:rPr>
              <w:t>4.网站日常监测及普查检测服务。基于云服务模式,提供网站监测系统,针对网站首页连通性、链接可用性、首页更新、栏目更新、错敏信息、隐私泄露、外链暗链等方面进行实时扫描和监测,及时提供问题预警提醒。并根据《政府网站与政务新媒体检查指标》按季度对政府网站进行全面检测,结合系统监测和人工检查结果,出具全面的网站监测报告。</w:t>
            </w:r>
          </w:p>
          <w:p>
            <w:pPr>
              <w:pStyle w:val="null3"/>
            </w:pPr>
            <w:r>
              <w:rPr>
                <w:rFonts w:ascii="仿宋_GB2312" w:hAnsi="仿宋_GB2312" w:cs="仿宋_GB2312" w:eastAsia="仿宋_GB2312"/>
              </w:rPr>
              <w:t>5.对标诊断服务。对标考核指标，开展政务公开对标诊断，形成《对标诊断报告》，辅助查漏补缺。</w:t>
            </w:r>
          </w:p>
          <w:p>
            <w:pPr>
              <w:pStyle w:val="null3"/>
            </w:pPr>
            <w:r>
              <w:rPr>
                <w:rFonts w:ascii="仿宋_GB2312" w:hAnsi="仿宋_GB2312" w:cs="仿宋_GB2312" w:eastAsia="仿宋_GB2312"/>
              </w:rPr>
              <w:t>6.智能问答服务。提供智能问答系统维护和智能问答知识库梳理、更新、维护、语义训练和分析报告等服务。</w:t>
            </w:r>
          </w:p>
          <w:p>
            <w:pPr>
              <w:pStyle w:val="null3"/>
            </w:pPr>
            <w:r>
              <w:rPr>
                <w:rFonts w:ascii="仿宋_GB2312" w:hAnsi="仿宋_GB2312" w:cs="仿宋_GB2312" w:eastAsia="仿宋_GB2312"/>
              </w:rPr>
              <w:t>7.提供专业的技术人员服务。</w:t>
            </w:r>
          </w:p>
          <w:p>
            <w:pPr>
              <w:pStyle w:val="null3"/>
            </w:pPr>
            <w:r>
              <w:rPr>
                <w:rFonts w:ascii="仿宋_GB2312" w:hAnsi="仿宋_GB2312" w:cs="仿宋_GB2312" w:eastAsia="仿宋_GB2312"/>
              </w:rPr>
              <w:t>8.其他服务等。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5"/>
            </w:pPr>
            <w:r>
              <w:rPr>
                <w:rFonts w:ascii="仿宋_GB2312" w:hAnsi="仿宋_GB2312" w:cs="仿宋_GB2312" w:eastAsia="仿宋_GB2312"/>
              </w:rPr>
              <w:t>技术要求</w:t>
            </w:r>
          </w:p>
          <w:p>
            <w:pPr>
              <w:pStyle w:val="null3"/>
            </w:pPr>
            <w:r>
              <w:rPr>
                <w:rFonts w:ascii="仿宋_GB2312" w:hAnsi="仿宋_GB2312" w:cs="仿宋_GB2312" w:eastAsia="仿宋_GB2312"/>
              </w:rPr>
              <w:t>1.对照政府网站发展指引和评估指标要求，从展现标识、信息内容、服务质量、用户体验等方面对网站进行运维，确保网站安全高效运转。</w:t>
            </w:r>
          </w:p>
          <w:p>
            <w:pPr>
              <w:pStyle w:val="null3"/>
            </w:pPr>
            <w:r>
              <w:rPr>
                <w:rFonts w:ascii="仿宋_GB2312" w:hAnsi="仿宋_GB2312" w:cs="仿宋_GB2312" w:eastAsia="仿宋_GB2312"/>
              </w:rPr>
              <w:t>2.支持IE、360、Chrome、Firefox、Safari等主流浏览器访问。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15"/>
            </w:pPr>
            <w:r>
              <w:rPr>
                <w:rFonts w:ascii="仿宋_GB2312" w:hAnsi="仿宋_GB2312" w:cs="仿宋_GB2312" w:eastAsia="仿宋_GB2312"/>
              </w:rPr>
              <w:t>服务要求</w:t>
            </w:r>
          </w:p>
          <w:p>
            <w:pPr>
              <w:pStyle w:val="null3"/>
            </w:pPr>
            <w:r>
              <w:rPr>
                <w:rFonts w:ascii="仿宋_GB2312" w:hAnsi="仿宋_GB2312" w:cs="仿宋_GB2312" w:eastAsia="仿宋_GB2312"/>
              </w:rPr>
              <w:t>1.对于超出预见能力或控制能力的突发事件或意外事件引起的宕机、线路中断等异常情况，应在情况发生后尽快恢复正常运行。</w:t>
            </w:r>
          </w:p>
          <w:p>
            <w:pPr>
              <w:pStyle w:val="null3"/>
            </w:pPr>
            <w:r>
              <w:rPr>
                <w:rFonts w:ascii="仿宋_GB2312" w:hAnsi="仿宋_GB2312" w:cs="仿宋_GB2312" w:eastAsia="仿宋_GB2312"/>
              </w:rPr>
              <w:t>2.按照软件工程的标准和规范，进行网站系统的调试、设计实施和维护运行保障工作。</w:t>
            </w:r>
          </w:p>
          <w:p>
            <w:pPr>
              <w:pStyle w:val="null3"/>
            </w:pPr>
            <w:r>
              <w:rPr>
                <w:rFonts w:ascii="仿宋_GB2312" w:hAnsi="仿宋_GB2312" w:cs="仿宋_GB2312" w:eastAsia="仿宋_GB2312"/>
              </w:rPr>
              <w:t>3.在系统维护过程中如遇特殊困难须变更需求时，应及时通知甲方，经甲方同意后方可实行。</w:t>
            </w:r>
          </w:p>
          <w:p>
            <w:pPr>
              <w:pStyle w:val="null3"/>
            </w:pPr>
            <w:r>
              <w:rPr>
                <w:rFonts w:ascii="仿宋_GB2312" w:hAnsi="仿宋_GB2312" w:cs="仿宋_GB2312" w:eastAsia="仿宋_GB2312"/>
              </w:rPr>
              <w:t>4.如遇需到达服务器现场解决问题时，必须在2小时内响应。</w:t>
            </w:r>
          </w:p>
          <w:p>
            <w:pPr>
              <w:pStyle w:val="null3"/>
            </w:pPr>
            <w:r>
              <w:rPr>
                <w:rFonts w:ascii="仿宋_GB2312" w:hAnsi="仿宋_GB2312" w:cs="仿宋_GB2312" w:eastAsia="仿宋_GB2312"/>
              </w:rPr>
              <w:t>5.项目保密要求：供应商需对项目整体保密，并签订保密协议。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标的名称：政务协同办公系统运维服务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pPr>
            <w:r>
              <w:rPr>
                <w:rFonts w:ascii="仿宋_GB2312" w:hAnsi="仿宋_GB2312" w:cs="仿宋_GB2312" w:eastAsia="仿宋_GB2312"/>
              </w:rPr>
              <w:t>项目概况</w:t>
            </w:r>
          </w:p>
          <w:p>
            <w:pPr>
              <w:pStyle w:val="null3"/>
            </w:pPr>
            <w:r>
              <w:rPr>
                <w:rFonts w:ascii="仿宋_GB2312" w:hAnsi="仿宋_GB2312" w:cs="仿宋_GB2312" w:eastAsia="仿宋_GB2312"/>
              </w:rPr>
              <w:t>对系统进行日常维保，确保各单位正常使用。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15"/>
            </w:pPr>
            <w:r>
              <w:rPr>
                <w:rFonts w:ascii="仿宋_GB2312" w:hAnsi="仿宋_GB2312" w:cs="仿宋_GB2312" w:eastAsia="仿宋_GB2312"/>
              </w:rPr>
              <w:t>服务内容</w:t>
            </w:r>
          </w:p>
          <w:p>
            <w:pPr>
              <w:pStyle w:val="null3"/>
            </w:pPr>
            <w:r>
              <w:rPr>
                <w:rFonts w:ascii="仿宋_GB2312" w:hAnsi="仿宋_GB2312" w:cs="仿宋_GB2312" w:eastAsia="仿宋_GB2312"/>
              </w:rPr>
              <w:t>提供政务协同办公系统(一套)的整体运维服务，同时为系统电脑端及移动端的全部用户分别提供对应的服务运维支持。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5"/>
            </w:pPr>
            <w:r>
              <w:rPr>
                <w:rFonts w:ascii="仿宋_GB2312" w:hAnsi="仿宋_GB2312" w:cs="仿宋_GB2312" w:eastAsia="仿宋_GB2312"/>
              </w:rPr>
              <w:t>技术要求</w:t>
            </w:r>
          </w:p>
          <w:p>
            <w:pPr>
              <w:pStyle w:val="null3"/>
            </w:pPr>
            <w:r>
              <w:rPr>
                <w:rFonts w:ascii="仿宋_GB2312" w:hAnsi="仿宋_GB2312" w:cs="仿宋_GB2312" w:eastAsia="仿宋_GB2312"/>
              </w:rPr>
              <w:t>政务协同办公系统本身的运行和维护，账号管理、故障处理、流程修改、数据备份等工作；使用政务协同办公系统的用户（包括电脑端及移动端）的使用培训、疑难解答、故障处理、修改密码等相关事项的处理。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15"/>
            </w:pPr>
            <w:r>
              <w:rPr>
                <w:rFonts w:ascii="仿宋_GB2312" w:hAnsi="仿宋_GB2312" w:cs="仿宋_GB2312" w:eastAsia="仿宋_GB2312"/>
              </w:rPr>
              <w:t>服务要求</w:t>
            </w:r>
          </w:p>
          <w:p>
            <w:pPr>
              <w:pStyle w:val="null3"/>
            </w:pPr>
            <w:r>
              <w:rPr>
                <w:rFonts w:ascii="仿宋_GB2312" w:hAnsi="仿宋_GB2312" w:cs="仿宋_GB2312" w:eastAsia="仿宋_GB2312"/>
              </w:rPr>
              <w:t>1.维保对象：维保清单所列各项内容即为维保对象，供应商应对其提供综合性的维护及技术支持，保证其稳健运行，对其出现的问题或故障及时进行排查和处理。</w:t>
            </w:r>
          </w:p>
          <w:p>
            <w:pPr>
              <w:pStyle w:val="null3"/>
            </w:pPr>
            <w:r>
              <w:rPr>
                <w:rFonts w:ascii="仿宋_GB2312" w:hAnsi="仿宋_GB2312" w:cs="仿宋_GB2312" w:eastAsia="仿宋_GB2312"/>
              </w:rPr>
              <w:t>2.维保服务：提供符合要求的技术人员服务，提出的系统维护、保障和咨询服务，服务时间同法定工作日。</w:t>
            </w:r>
          </w:p>
          <w:p>
            <w:pPr>
              <w:pStyle w:val="null3"/>
            </w:pPr>
            <w:r>
              <w:rPr>
                <w:rFonts w:ascii="仿宋_GB2312" w:hAnsi="仿宋_GB2312" w:cs="仿宋_GB2312" w:eastAsia="仿宋_GB2312"/>
              </w:rPr>
              <w:t>3.电话响应服务：在维保期内，供应商提供全年7*24小时电话支持服务，供应商接到相关业务，立即响应，并在2小时内消除故障，如不能解决则执行现场支持服务。</w:t>
            </w:r>
          </w:p>
          <w:p>
            <w:pPr>
              <w:pStyle w:val="null3"/>
            </w:pPr>
            <w:r>
              <w:rPr>
                <w:rFonts w:ascii="仿宋_GB2312" w:hAnsi="仿宋_GB2312" w:cs="仿宋_GB2312" w:eastAsia="仿宋_GB2312"/>
              </w:rPr>
              <w:t>4.现场支持服务：在维保期内，用户如遇到相关问题，需要供应商委派相关技术人员予以支持时，供应商在接到现场维护通知后，立即响应，并派遣相关技术人员至现场进行技术支持。</w:t>
            </w:r>
          </w:p>
          <w:p>
            <w:pPr>
              <w:pStyle w:val="null3"/>
            </w:pPr>
            <w:r>
              <w:rPr>
                <w:rFonts w:ascii="仿宋_GB2312" w:hAnsi="仿宋_GB2312" w:cs="仿宋_GB2312" w:eastAsia="仿宋_GB2312"/>
              </w:rPr>
              <w:t>5.紧急现场服务要求：在维保期内，非法定工作日，如遇紧急维保对象故障需要现场处理的，供应商应尽快到达现场处理。</w:t>
            </w:r>
          </w:p>
          <w:p>
            <w:pPr>
              <w:pStyle w:val="null3"/>
            </w:pPr>
            <w:r>
              <w:rPr>
                <w:rFonts w:ascii="仿宋_GB2312" w:hAnsi="仿宋_GB2312" w:cs="仿宋_GB2312" w:eastAsia="仿宋_GB2312"/>
              </w:rPr>
              <w:t>6.文档要求：供应商必须有完整可行的文档管理体系。供应商的每项工作均须出具详细的相关书面文档，按时保质提交维保方。</w:t>
            </w:r>
          </w:p>
          <w:p>
            <w:pPr>
              <w:pStyle w:val="null3"/>
            </w:pPr>
            <w:r>
              <w:rPr>
                <w:rFonts w:ascii="仿宋_GB2312" w:hAnsi="仿宋_GB2312" w:cs="仿宋_GB2312" w:eastAsia="仿宋_GB2312"/>
              </w:rPr>
              <w:t>7.数据安全要求：保障系统数据及应用数据安全，如因维保服务导致数据丢失，需赔偿损失。</w:t>
            </w:r>
          </w:p>
          <w:p>
            <w:pPr>
              <w:pStyle w:val="null3"/>
            </w:pPr>
            <w:r>
              <w:rPr>
                <w:rFonts w:ascii="仿宋_GB2312" w:hAnsi="仿宋_GB2312" w:cs="仿宋_GB2312" w:eastAsia="仿宋_GB2312"/>
              </w:rPr>
              <w:t>8.项目保密要求：供应商需对项目整体保密，并签订保密协议。</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标的名称：国产化计算机软硬件运维服务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pPr>
            <w:r>
              <w:rPr>
                <w:rFonts w:ascii="仿宋_GB2312" w:hAnsi="仿宋_GB2312" w:cs="仿宋_GB2312" w:eastAsia="仿宋_GB2312"/>
              </w:rPr>
              <w:t>项目概况</w:t>
            </w:r>
          </w:p>
          <w:p>
            <w:pPr>
              <w:pStyle w:val="null3"/>
            </w:pPr>
            <w:r>
              <w:rPr>
                <w:rFonts w:ascii="仿宋_GB2312" w:hAnsi="仿宋_GB2312" w:cs="仿宋_GB2312" w:eastAsia="仿宋_GB2312"/>
              </w:rPr>
              <w:t>为保障各单位正常办公，对国产化计算机软硬件使用、运行进行维护保障。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15"/>
            </w:pPr>
            <w:r>
              <w:rPr>
                <w:rFonts w:ascii="仿宋_GB2312" w:hAnsi="仿宋_GB2312" w:cs="仿宋_GB2312" w:eastAsia="仿宋_GB2312"/>
              </w:rPr>
              <w:t>服务内容</w:t>
            </w:r>
          </w:p>
          <w:p>
            <w:pPr>
              <w:pStyle w:val="null3"/>
            </w:pPr>
            <w:r>
              <w:rPr>
                <w:rFonts w:ascii="仿宋_GB2312" w:hAnsi="仿宋_GB2312" w:cs="仿宋_GB2312" w:eastAsia="仿宋_GB2312"/>
              </w:rPr>
              <w:t>为各街道，各部门，各管理服务机构，各产业园（示范园）配发使用的国产化计算机（软硬件）及相关服务器，提供日常维护、疑难解答、故障处理。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5"/>
            </w:pPr>
            <w:r>
              <w:rPr>
                <w:rFonts w:ascii="仿宋_GB2312" w:hAnsi="仿宋_GB2312" w:cs="仿宋_GB2312" w:eastAsia="仿宋_GB2312"/>
              </w:rPr>
              <w:t>技术要求</w:t>
            </w:r>
          </w:p>
          <w:p>
            <w:pPr>
              <w:pStyle w:val="null3"/>
            </w:pPr>
            <w:r>
              <w:rPr>
                <w:rFonts w:ascii="仿宋_GB2312" w:hAnsi="仿宋_GB2312" w:cs="仿宋_GB2312" w:eastAsia="仿宋_GB2312"/>
              </w:rPr>
              <w:t>终端及其系统的维护、疑难解答、故障处理，不包含硬件维修及更换；终端相关软件的疑难解答、故障处理等相关事项的处理，不包括软件升级、软件定制。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15"/>
            </w:pPr>
            <w:r>
              <w:rPr>
                <w:rFonts w:ascii="仿宋_GB2312" w:hAnsi="仿宋_GB2312" w:cs="仿宋_GB2312" w:eastAsia="仿宋_GB2312"/>
              </w:rPr>
              <w:t>服务要求</w:t>
            </w:r>
          </w:p>
          <w:p>
            <w:pPr>
              <w:pStyle w:val="null3"/>
            </w:pPr>
            <w:r>
              <w:rPr>
                <w:rFonts w:ascii="仿宋_GB2312" w:hAnsi="仿宋_GB2312" w:cs="仿宋_GB2312" w:eastAsia="仿宋_GB2312"/>
              </w:rPr>
              <w:t>1.维保对象：服务内容所列各项范围即为维保对象，供应商应对其提供综合性的维护及技术支持，保证其稳健运行，对其出现的问题或故障及时进行排查和处理。</w:t>
            </w:r>
          </w:p>
          <w:p>
            <w:pPr>
              <w:pStyle w:val="null3"/>
            </w:pPr>
            <w:r>
              <w:rPr>
                <w:rFonts w:ascii="仿宋_GB2312" w:hAnsi="仿宋_GB2312" w:cs="仿宋_GB2312" w:eastAsia="仿宋_GB2312"/>
              </w:rPr>
              <w:t>2.维保服务：提供符合要求的技术人员服务，响应各类系统维护、保障和咨询服务，服务时间同法定工作日。</w:t>
            </w:r>
          </w:p>
          <w:p>
            <w:pPr>
              <w:pStyle w:val="null3"/>
            </w:pPr>
            <w:r>
              <w:rPr>
                <w:rFonts w:ascii="仿宋_GB2312" w:hAnsi="仿宋_GB2312" w:cs="仿宋_GB2312" w:eastAsia="仿宋_GB2312"/>
              </w:rPr>
              <w:t>3.电话响应服务：在维保期内，供应商提供全年7*24小时电话支持服务，供应商接到相关业务，立即响应，并在2小时内消除故障，如不能解决则执行现场支持服务。</w:t>
            </w:r>
          </w:p>
          <w:p>
            <w:pPr>
              <w:pStyle w:val="null3"/>
            </w:pPr>
            <w:r>
              <w:rPr>
                <w:rFonts w:ascii="仿宋_GB2312" w:hAnsi="仿宋_GB2312" w:cs="仿宋_GB2312" w:eastAsia="仿宋_GB2312"/>
              </w:rPr>
              <w:t>4.现场支持服务：在维保期内，用户如遇到相关问题，需要供应商委派相关技术人员予以支持时，供应商在接到现场维护通知后，立即响应，并派遣相关技术人员至现场进行技术支持。</w:t>
            </w:r>
          </w:p>
          <w:p>
            <w:pPr>
              <w:pStyle w:val="null3"/>
            </w:pPr>
            <w:r>
              <w:rPr>
                <w:rFonts w:ascii="仿宋_GB2312" w:hAnsi="仿宋_GB2312" w:cs="仿宋_GB2312" w:eastAsia="仿宋_GB2312"/>
              </w:rPr>
              <w:t>5.紧急现场服务要求：在维保期内，非法定工作日，如遇紧急维保对象故障需要现场处理的，供应商应尽快到达现场处理。</w:t>
            </w:r>
          </w:p>
          <w:p>
            <w:pPr>
              <w:pStyle w:val="null3"/>
            </w:pPr>
            <w:r>
              <w:rPr>
                <w:rFonts w:ascii="仿宋_GB2312" w:hAnsi="仿宋_GB2312" w:cs="仿宋_GB2312" w:eastAsia="仿宋_GB2312"/>
              </w:rPr>
              <w:t>6.文档要求：供应商必须有完整可行的文档管理体系。供应商的每项工作均须出具详细的相关书面文档，按时保质提交维保方。</w:t>
            </w:r>
          </w:p>
          <w:p>
            <w:pPr>
              <w:pStyle w:val="null3"/>
            </w:pPr>
            <w:r>
              <w:rPr>
                <w:rFonts w:ascii="仿宋_GB2312" w:hAnsi="仿宋_GB2312" w:cs="仿宋_GB2312" w:eastAsia="仿宋_GB2312"/>
              </w:rPr>
              <w:t>7.项目保密要求：供应商需对项目整体保密，并签订保密协议。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项目整体服务完成，提交运维服务验收资料经验收合格后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项目整体服务完成，提交运维服务验收资料经验收合格后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项目整体服务完成，提交运维服务验收资料经验收合格后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管理费、社保费、税金等其他一切相关费用。任何有选择的报价将不予接受，否则按无效磋商处理。 （2）项目属性：服务。 （3）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（6）若为授权代表参加磋商，响应文件中需提供被授权代表开标前三个月内任意一个月在本单位的社保缴纳证明。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响应文件封面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分项报价表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分项报价表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响应文件封面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响应文件封面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提供整体完善的运维服务方案（包括但不限于运维要求的总体情况分析，运维的计划、重点、难点分析、可能的故障分析，投入的设备工器具等） 服务方案得当、措施全面、合理可行，得[10-15]分；服务方案简要、措施不够全面、可行性一般，得[5-10）分；服务方案空泛或无实质性内容，得[0-5）分。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根据供应商提供的针对本项目服务质量（包括但不限于网站页面、栏目及内容优化调整节假日宣传图片制作、网站日常图片设计制作、专题专栏设计制作）保证措施响应程度综合赋分。 措施内容针对性、合理性、可行性强，得[7-10]分；措施内容有一定针对性、合理性、可行性，得[4-7）分； 措施内容简单笼统，缺乏针对性，得[0-4）分。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提供突发事件应急预案内容有应急预案的响应程序和演练程序等（结合采购人现有系统运行现状和环境现状提交可能发生的突发事件应急预案，方案但不限于处置流程、事件响应时间、应急人员分工、故障诊断及排除时间要求等）。 应急保障方案得当、全面、详尽、合理可行，得[7-10]分；应急保障方案具有可行性，有一定的实操性，得[4-7）分；应急保障方案空泛或无实质性内容，得[0-4）分。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供应商提供人员配备表，人员配备合理，分工职责明确，专业性强，可实施性、合理性、协调性高，能确保项目顺利实施。根据响应内容综合赋分。 人员配备完善充足、岗位设置齐全、分工明确、管理方案详细，得[10-15]分；人员配备基本完善、岗位设置基本齐全、分工基本明确、管理方案内容简单，得[5-10）分；人员配备、岗位设置、分工及管理方案简单笼统，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供应商应提供具体的培训方案（包括但不限于①培训计划②培训内容③培训方案）。方案各部分内容全面详细、阐述条理清晰详尽。 服务方案得当、措施全面、合理可行，得[7-10]分；服务方案简要、措施不够全面、可行性一般，得[4-7）分；服务方案空泛或无实质性内容，得[0-4）分。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供应商提出针对本项目保密、廉洁措施，措施得当、全面、详尽、合理可行，得[7-10]分；措施具有可行性，有一定的实操性，得[4-7）分；措施空泛或无实质性内容，得[0-4）分。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供应商提出针对本项目实施的合理化建议，具体合理可行高。得[3-5]分；供应商提出针对本项目实施的合理化建议，较为合理可行。得[0-3）分。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提供整体运维服务方案（包括但不限于提供详细具体的实施方案，具体列举出实施项目内容，且可提供保障项目实施中的如何保障项目安全实施的服务支持等内容） 服务方案得当、措施全面、合理可行，得[10-15]分；服务方案简要、措施不够全面、可行性一般，得[5-10）分；服务方案空泛或无实质性内容，得[0-5）分。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根据供应商提供的针对本项目整体服务质量保证措施响应程度综合赋分。 措施内容针对性、合理性、可行性强，得[7-10]分；措施内容有一定针对性、合理性、可行性，得[4-7）分； 措施内容简单笼统，缺乏针对性，得[0-4）分。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提供突发事件应急预案内容有应急预案的响应程序和演练程序等（结合采购人现有系统运行现状和环境现状提交可能发生的突发事件应急预案，方案但不限于处置流程、事件响应时间、应急人员分工、故障诊断及排除时间要求等）。 应急保障方案得当、全面、详尽、合理可行，得[7-10]分；应急保障方案具有可行性，有一定的实操性，得[4-7）分；应急保障方案空泛或无实质性内容，得[0-4）分。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供应商提供人员配备表，人员配备合理，分工职责明确，专业性强，可实施性、合理性、协调性高，能确保项目顺利实施。根据响应内容综合赋分。 人员配备完善充足、岗位设置齐全、分工明确、管理方案详细，得[10-15]分；人员配备基本完善、岗位设置基本齐全、分工基本明确、管理方案内容简单，得[5-10）分；人员配备、岗位设置、分工及管理方案简单笼统，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供应商应提供具体的培训方案（包括但不限于①培训计划②培训内容③培训方案）。方案各部分内容全面详细、阐述条理清晰详尽。 服务方案得当、措施全面、合理可行，得[7-10]分；服务方案简要、措施不够全面、可行性一般，得[4-7）分；服务方案空泛或无实质性内容，得[0-4）分。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供应商提出针对本项目保密、廉洁措施，措施得当、全面、详尽、合理可行，得[7-10]分；措施具有可行性，有一定的实操性，得[4-7）分；措施空泛或无实质性内容，得[0-4）分。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供应商提出针对本项目实施的合理化建议，具体合理可行高。得[3-5]分；供应商提出针对本项目实施的合理化建议，较为合理可行。得[0-3）分。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提供整体维保服务技术方案（包括区域维护设备及运维要求的总体情况分析，运维系统、分区域实施计划、重点、难点分析、可能的故障分析，投入的工器具等） 服务方案得当、措施全面、合理可行，得[10-15]分；服务方案简要、措施不够全面、可行性一般，得[5-10）分；服务方案空泛或无实质性内容，得[0-5）分。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根据供应商提供的针对本项目整体服务质量保证措施响应程度综合赋分。 措施内容针对性、合理性、可行性强，得[7-10]分；措施内容有一定针对性、合理性、可行性，得[4-7）分； 措施内容简单笼统，缺乏针对性，得[0-4）分。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提供突发事件应急预案内容有应急预案的响应程序和演练程序等（结合采购人现有系统运行现状和环境现状提交可能发生的突发事件应急预案，方案但不限于处置流程、事件响应时间、应急人员分工、故障诊断及排除时间要求等）。 应急保障方案得当、全面、详尽、合理可行，得[7-10]分；应急保障方案具有可行性，有一定的实操性，得[4-7）分；应急保障方案空泛或无实质性内容，得[0-4）分。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供应商提供人员配备表，人员配备合理，分工职责明确，专业性强，可实施性、合理性、协调性高，能确保项目顺利实施。根据响应内容综合赋分。 人员配备完善充足、岗位设置齐全、分工明确、管理方案详细，得[10-15]分；人员配备基本完善、岗位设置基本齐全、分工基本明确、管理方案内容简单，得[5-10）分；人员配备、岗位设置、分工及管理方案简单笼统，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供应商应提供具体的培训方案（包括但不限于①培训计划②培训内容③培训方案）。方案各部分内容全面详细、阐述条理清晰详尽。 服务方案得当、措施全面、合理可行，得[7-10]分；服务方案简要、措施不够全面、可行性一般，得[4-7）分；服务方案空泛或无实质性内容，得[0-4）分。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供应商提出针对本项目保密、廉洁措施，措施得当、全面、详尽、合理可行，得[7-10]分；措施具有可行性，有一定的实操性，得[4-7）分；措施空泛或无实质性内容，得[0-4）分。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供应商提出针对本项目实施的合理化建议，具体合理可行高。得[3-5]分；供应商提出针对本项目实施的合理化建议，较为合理可行。得[0-3）分。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