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版本号：CGZC-2025-190、XACH2025-11820250910001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西安浐灞国际港区域规划水资源论证咨询服务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CGZC-2025-190、XACH2025-118</w:t>
      </w:r>
      <w:r>
        <w:br/>
      </w:r>
      <w:r>
        <w:br/>
      </w:r>
      <w:r>
        <w:br/>
      </w:r>
    </w:p>
    <w:p>
      <w:pPr>
        <w:pStyle w:val="null3"/>
        <w:jc w:val="center"/>
        <w:outlineLvl w:val="2"/>
      </w:pPr>
      <w:r>
        <w:rPr>
          <w:rFonts w:ascii="仿宋_GB2312" w:hAnsi="仿宋_GB2312" w:cs="仿宋_GB2312" w:eastAsia="仿宋_GB2312"/>
          <w:sz w:val="28"/>
          <w:b/>
        </w:rPr>
        <w:t>西安浐灞国际港生态环境局</w:t>
      </w:r>
    </w:p>
    <w:p>
      <w:pPr>
        <w:pStyle w:val="null3"/>
        <w:jc w:val="center"/>
        <w:outlineLvl w:val="2"/>
      </w:pPr>
      <w:r>
        <w:rPr>
          <w:rFonts w:ascii="仿宋_GB2312" w:hAnsi="仿宋_GB2312" w:cs="仿宋_GB2312" w:eastAsia="仿宋_GB2312"/>
          <w:sz w:val="28"/>
          <w:b/>
        </w:rPr>
        <w:t>西安辰和工程咨询有限公司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西安辰和工程咨询有限公司</w:t>
      </w:r>
      <w:r>
        <w:rPr>
          <w:rFonts w:ascii="仿宋_GB2312" w:hAnsi="仿宋_GB2312" w:cs="仿宋_GB2312" w:eastAsia="仿宋_GB2312"/>
        </w:rPr>
        <w:t>（以下简称“代理机构”）受</w:t>
      </w:r>
      <w:r>
        <w:rPr>
          <w:rFonts w:ascii="仿宋_GB2312" w:hAnsi="仿宋_GB2312" w:cs="仿宋_GB2312" w:eastAsia="仿宋_GB2312"/>
        </w:rPr>
        <w:t>西安浐灞国际港生态环境局</w:t>
      </w:r>
      <w:r>
        <w:rPr>
          <w:rFonts w:ascii="仿宋_GB2312" w:hAnsi="仿宋_GB2312" w:cs="仿宋_GB2312" w:eastAsia="仿宋_GB2312"/>
        </w:rPr>
        <w:t>委托，拟对</w:t>
      </w:r>
      <w:r>
        <w:rPr>
          <w:rFonts w:ascii="仿宋_GB2312" w:hAnsi="仿宋_GB2312" w:cs="仿宋_GB2312" w:eastAsia="仿宋_GB2312"/>
        </w:rPr>
        <w:t>西安浐灞国际港区域规划水资源论证咨询服务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CGZC-2025-190、XACH2025-118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西安浐灞国际港区域规划水资源论证咨询服务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西安浐灞国际港区域规划水资源论证咨询服务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具有独立承担民事责任的能力：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供应商需在项目电子化交易系统中按要求上传相应证明文件并进行电子签章。</w:t>
      </w:r>
    </w:p>
    <w:p>
      <w:pPr>
        <w:pStyle w:val="null3"/>
      </w:pPr>
      <w:r>
        <w:rPr>
          <w:rFonts w:ascii="仿宋_GB2312" w:hAnsi="仿宋_GB2312" w:cs="仿宋_GB2312" w:eastAsia="仿宋_GB2312"/>
        </w:rPr>
        <w:t>2、供应商应授权合法的人员参加磋商全过程：法定代表人授权委托书（附法定代表人身份证复印件）及被授权委托人身份证复印件，并提供被授权委托人在本单位缴纳社保的证明材料（法定代表人参加磋商只需提供法定代表人身份证复印件）；供应商需在项目电子化交易系统中按要求上传相应证明文件并进行电子签章。</w:t>
      </w:r>
    </w:p>
    <w:p>
      <w:pPr>
        <w:pStyle w:val="null3"/>
      </w:pPr>
      <w:r>
        <w:rPr>
          <w:rFonts w:ascii="仿宋_GB2312" w:hAnsi="仿宋_GB2312" w:cs="仿宋_GB2312" w:eastAsia="仿宋_GB2312"/>
        </w:rPr>
        <w:t>3、供应商基本资格条件承诺函：供应商须满足《中华人民共和国政府采购法》第二十二条规定（提供承诺函）；供应商需在项目电子化交易系统中按要求上传相应证明文件并进行电子签章。</w:t>
      </w:r>
    </w:p>
    <w:p>
      <w:pPr>
        <w:pStyle w:val="null3"/>
      </w:pPr>
      <w:r>
        <w:rPr>
          <w:rFonts w:ascii="仿宋_GB2312" w:hAnsi="仿宋_GB2312" w:cs="仿宋_GB2312" w:eastAsia="仿宋_GB2312"/>
        </w:rPr>
        <w:t>4、非联合体磋商：非联合体磋商声明；供应商需在项目电子化交易系统中按要求上传相应证明文件并进行电子签章。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西安浐灞国际港生态环境局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西安国际港务区港务大道6号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029-83332108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西安辰和工程咨询有限公司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西安高新区锦业路59号高科智慧园B座四层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刘娜娜、单云</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029-87563729、029-82285837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西安浐灞国际港财政金融局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袁老师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029-83521198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成交人支付代理服务费,根据国家发展改革委发布《关于进一步放开建设项目专业服务价格的通知》（发改价格〔2015〕299号）文件，招标代理费实行市场调节价。故经双方协商确定，100万以下按1.5%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西安浐灞国际港生态环境局</w:t>
      </w:r>
      <w:r>
        <w:rPr>
          <w:rFonts w:ascii="仿宋_GB2312" w:hAnsi="仿宋_GB2312" w:cs="仿宋_GB2312" w:eastAsia="仿宋_GB2312"/>
        </w:rPr>
        <w:t>和</w:t>
      </w:r>
      <w:r>
        <w:rPr>
          <w:rFonts w:ascii="仿宋_GB2312" w:hAnsi="仿宋_GB2312" w:cs="仿宋_GB2312" w:eastAsia="仿宋_GB2312"/>
        </w:rPr>
        <w:t>西安辰和工程咨询有限公司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西安浐灞国际港生态环境局</w:t>
      </w:r>
      <w:r>
        <w:rPr>
          <w:rFonts w:ascii="仿宋_GB2312" w:hAnsi="仿宋_GB2312" w:cs="仿宋_GB2312" w:eastAsia="仿宋_GB2312"/>
        </w:rPr>
        <w:t>负责解释。除上述磋商文件内容，其他内容由</w:t>
      </w:r>
      <w:r>
        <w:rPr>
          <w:rFonts w:ascii="仿宋_GB2312" w:hAnsi="仿宋_GB2312" w:cs="仿宋_GB2312" w:eastAsia="仿宋_GB2312"/>
        </w:rPr>
        <w:t>西安辰和工程咨询有限公司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西安浐灞国际港生态环境局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西安辰和工程咨询有限公司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达到竞争性磋商文件及国家规定的“合格”标准。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联系人：西安辰和工程咨询有限公司</w:t>
      </w:r>
    </w:p>
    <w:p>
      <w:pPr>
        <w:pStyle w:val="null3"/>
      </w:pPr>
      <w:r>
        <w:rPr>
          <w:rFonts w:ascii="仿宋_GB2312" w:hAnsi="仿宋_GB2312" w:cs="仿宋_GB2312" w:eastAsia="仿宋_GB2312"/>
        </w:rPr>
        <w:t>联系电话：029-87563729、029-82285837</w:t>
      </w:r>
    </w:p>
    <w:p>
      <w:pPr>
        <w:pStyle w:val="null3"/>
      </w:pPr>
      <w:r>
        <w:rPr>
          <w:rFonts w:ascii="仿宋_GB2312" w:hAnsi="仿宋_GB2312" w:cs="仿宋_GB2312" w:eastAsia="仿宋_GB2312"/>
        </w:rPr>
        <w:t>地址：西安高新区锦业路59号高科智慧园B座四层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西安浐灞国际港区域规划水资源论证咨询服务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西安浐灞国际港区域规划水资源论证咨询服务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标的名称：西安浐灞国际港区域规划水资源论证咨询服务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8"/>
                <w:color w:val="000000"/>
              </w:rPr>
              <w:t>一、</w:t>
            </w:r>
            <w:r>
              <w:rPr>
                <w:rFonts w:ascii="仿宋_GB2312" w:hAnsi="仿宋_GB2312" w:cs="仿宋_GB2312" w:eastAsia="仿宋_GB2312"/>
                <w:sz w:val="28"/>
                <w:b/>
                <w:color w:val="000000"/>
              </w:rPr>
              <w:t>项目概况</w:t>
            </w:r>
          </w:p>
          <w:p>
            <w:pPr>
              <w:pStyle w:val="null3"/>
              <w:ind w:firstLine="560"/>
              <w:jc w:val="left"/>
            </w:pPr>
            <w:r>
              <w:rPr>
                <w:rFonts w:ascii="仿宋_GB2312" w:hAnsi="仿宋_GB2312" w:cs="仿宋_GB2312" w:eastAsia="仿宋_GB2312"/>
                <w:sz w:val="28"/>
                <w:color w:val="000000"/>
              </w:rPr>
              <w:t>1、项目名称：西安浐灞国际港区域规划水资源论证咨询服务</w:t>
            </w:r>
          </w:p>
          <w:p>
            <w:pPr>
              <w:pStyle w:val="null3"/>
              <w:ind w:firstLine="560"/>
              <w:jc w:val="left"/>
            </w:pPr>
            <w:r>
              <w:rPr>
                <w:rFonts w:ascii="仿宋_GB2312" w:hAnsi="仿宋_GB2312" w:cs="仿宋_GB2312" w:eastAsia="仿宋_GB2312"/>
                <w:sz w:val="28"/>
                <w:color w:val="000000"/>
              </w:rPr>
              <w:t>2、服务期限：自合同签订之日起30日历天</w:t>
            </w:r>
          </w:p>
          <w:p>
            <w:pPr>
              <w:pStyle w:val="null3"/>
              <w:ind w:firstLine="560"/>
              <w:jc w:val="left"/>
            </w:pPr>
            <w:r>
              <w:rPr>
                <w:rFonts w:ascii="仿宋_GB2312" w:hAnsi="仿宋_GB2312" w:cs="仿宋_GB2312" w:eastAsia="仿宋_GB2312"/>
                <w:sz w:val="28"/>
                <w:color w:val="000000"/>
              </w:rPr>
              <w:t xml:space="preserve">二、 </w:t>
            </w:r>
            <w:r>
              <w:rPr>
                <w:rFonts w:ascii="仿宋_GB2312" w:hAnsi="仿宋_GB2312" w:cs="仿宋_GB2312" w:eastAsia="仿宋_GB2312"/>
                <w:sz w:val="28"/>
                <w:b/>
                <w:color w:val="000000"/>
              </w:rPr>
              <w:t>服务内容</w:t>
            </w:r>
          </w:p>
          <w:p>
            <w:pPr>
              <w:pStyle w:val="null3"/>
              <w:ind w:firstLine="560"/>
            </w:pPr>
            <w:r>
              <w:rPr>
                <w:rFonts w:ascii="仿宋_GB2312" w:hAnsi="仿宋_GB2312" w:cs="仿宋_GB2312" w:eastAsia="仿宋_GB2312"/>
                <w:sz w:val="28"/>
                <w:color w:val="000000"/>
              </w:rPr>
              <w:t>包括但不限于该项目的项目准备与资料收集分析、开展规划分析、水资源条件分析、规划需水合理性分析、水源配置合理性论证、退水及水功能区限制纳污分析、规划实施影响论证、节约保护管理措施制定，最终形成符合技术导则要求规范的区域规划水资源论证报告。</w:t>
            </w:r>
          </w:p>
          <w:p>
            <w:pPr>
              <w:pStyle w:val="null3"/>
            </w:pPr>
            <w:r>
              <w:rPr>
                <w:rFonts w:ascii="仿宋_GB2312" w:hAnsi="仿宋_GB2312" w:cs="仿宋_GB2312" w:eastAsia="仿宋_GB2312"/>
                <w:sz w:val="28"/>
                <w:b/>
                <w:color w:val="000000"/>
              </w:rPr>
              <w:t>三、技术要求</w:t>
            </w:r>
          </w:p>
          <w:p>
            <w:pPr>
              <w:pStyle w:val="null3"/>
              <w:ind w:firstLine="560"/>
            </w:pPr>
            <w:r>
              <w:rPr>
                <w:rFonts w:ascii="仿宋_GB2312" w:hAnsi="仿宋_GB2312" w:cs="仿宋_GB2312" w:eastAsia="仿宋_GB2312"/>
                <w:sz w:val="28"/>
                <w:color w:val="000000"/>
              </w:rPr>
              <w:t>收集并分析区域水资源基础资料，明确项目来源、论证目的等，确定编制依据、范围及水平年；开展水资源规划分析，取用水方案及中远期规划，分析水资源承载力，需水与节水分析并做出节水评价；论证水资源配置，分析现状配置，论证水源可靠性与配置方案；分析规划实施影响，涉及取水退水影响及相关保护管理措施，得出结论并提出针对性建议。形成符合实际、操作性强，符合技术导则要求规范并符合规划水资源编制大纲的区域规划水资源论证报告。</w:t>
            </w:r>
          </w:p>
          <w:p>
            <w:pPr>
              <w:pStyle w:val="null3"/>
            </w:pPr>
            <w:r>
              <w:rPr>
                <w:rFonts w:ascii="仿宋_GB2312" w:hAnsi="仿宋_GB2312" w:cs="仿宋_GB2312" w:eastAsia="仿宋_GB2312"/>
                <w:sz w:val="28"/>
                <w:b/>
                <w:color w:val="000000"/>
              </w:rPr>
              <w:t>四、服务要求</w:t>
            </w:r>
          </w:p>
          <w:p>
            <w:pPr>
              <w:pStyle w:val="null3"/>
              <w:ind w:firstLine="560"/>
            </w:pPr>
            <w:r>
              <w:rPr>
                <w:rFonts w:ascii="仿宋_GB2312" w:hAnsi="仿宋_GB2312" w:cs="仿宋_GB2312" w:eastAsia="仿宋_GB2312"/>
                <w:sz w:val="28"/>
                <w:color w:val="000000"/>
              </w:rPr>
              <w:t>1.评价程序需符合国家有关规定要求；</w:t>
            </w:r>
          </w:p>
          <w:p>
            <w:pPr>
              <w:pStyle w:val="null3"/>
              <w:ind w:firstLine="560"/>
            </w:pPr>
            <w:r>
              <w:rPr>
                <w:rFonts w:ascii="仿宋_GB2312" w:hAnsi="仿宋_GB2312" w:cs="仿宋_GB2312" w:eastAsia="仿宋_GB2312"/>
                <w:sz w:val="28"/>
                <w:color w:val="000000"/>
              </w:rPr>
              <w:t>2.通过行政主管部门或评审评估机构的技术审查，并取得审查意见。</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根据项目实际情况自行配置所需人员。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根据项目实际情况自行配置所需设备。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(一)成果形式：《西安浐灞国际港区域规划水资源论证咨询服务》纸质版报告8本，电子版1套。 (二)成果验收标准：按国家现行项目实施规范进行验收。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评价报告通过最终评审后，向乙方支付合同总价款的100%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具体内容详见合同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磋商报价为完成本项目磋商文件中所提出的工作范围及要求的全部内容，并达到国家及采购人验收标准而产生的所有费用，包括但不限于现场调查与踏勘、咨询费、报告编制费、技术评审费、招标代理费、利润、税金等一切相关费用，任何错报、漏报由供应商自行负责。 2、采购标的对应的中小企业划分标准所属行业：其他未列明行业。根据《工业和信息化部、国家统计局、国家发展和改革委员会、财政部关于印发中小企业划型标准规定的通知》（工信部联企业〔2011〕300号）规定的划分标准，从业人员300人以下的为中小微型企业。其中，从业人员100人及以上的为中型企业；从业人员10人及以上的为小型企业；从业人员10人以下的为微型企业。 3、成交人领取成交通知书时须向代理机构提交纸质版磋商响应文件：正本壹份、副本贰份、电子版（U盘）贰份。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复印件，并提供被授权委托人在本单位缴纳社保的证明材料（法定代表人参加磋商只需提供法定代表人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供应商基本资格条件承诺函</w:t>
            </w:r>
          </w:p>
        </w:tc>
        <w:tc>
          <w:tcPr>
            <w:tcW w:type="dxa" w:w="3322"/>
          </w:tcPr>
          <w:p>
            <w:pPr>
              <w:pStyle w:val="null3"/>
            </w:pPr>
            <w:r>
              <w:rPr>
                <w:rFonts w:ascii="仿宋_GB2312" w:hAnsi="仿宋_GB2312" w:cs="仿宋_GB2312" w:eastAsia="仿宋_GB2312"/>
              </w:rPr>
              <w:t>供应商须满足《中华人民共和国政府采购法》第二十二条规定（提供承诺函）；供应商需在项目电子化交易系统中按要求上传相应证明文件并进行电子签章。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非联合体磋商声明；供应商需在项目电子化交易系统中按要求上传相应证明文件并进行电子签章。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磋商过程中，磋商小组认为供应商的报价明显低于其他通过符合性审查供应商的报价，有可能影响产品质量或者不能诚信履约的，磋商小组应当要求其在合理的时间内在项目电子化交易系统中上传说明材料，必要时提交相关证明材料。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磋商响应文件签署</w:t>
            </w:r>
          </w:p>
        </w:tc>
        <w:tc>
          <w:tcPr>
            <w:tcW w:type="dxa" w:w="3322"/>
          </w:tcPr>
          <w:p>
            <w:pPr>
              <w:pStyle w:val="null3"/>
            </w:pPr>
            <w:r>
              <w:rPr>
                <w:rFonts w:ascii="仿宋_GB2312" w:hAnsi="仿宋_GB2312" w:cs="仿宋_GB2312" w:eastAsia="仿宋_GB2312"/>
              </w:rPr>
              <w:t>响应文件按照规定格式签字、盖章；</w:t>
            </w:r>
          </w:p>
        </w:tc>
        <w:tc>
          <w:tcPr>
            <w:tcW w:type="dxa" w:w="1661"/>
          </w:tcPr>
          <w:p>
            <w:pPr>
              <w:pStyle w:val="null3"/>
            </w:pPr>
            <w:r>
              <w:rPr>
                <w:rFonts w:ascii="仿宋_GB2312" w:hAnsi="仿宋_GB2312" w:cs="仿宋_GB2312" w:eastAsia="仿宋_GB2312"/>
              </w:rPr>
              <w:t>报价一览表.docx 服务内容及服务邀请应答表 中小企业声明函 商务应答表 承诺书.docx 报价表 资格证明文件.docx 响应文件封面 业绩证明文件及响应方案说明.docx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磋商响应有效期</w:t>
            </w:r>
          </w:p>
        </w:tc>
        <w:tc>
          <w:tcPr>
            <w:tcW w:type="dxa" w:w="3322"/>
          </w:tcPr>
          <w:p>
            <w:pPr>
              <w:pStyle w:val="null3"/>
            </w:pPr>
            <w:r>
              <w:rPr>
                <w:rFonts w:ascii="仿宋_GB2312" w:hAnsi="仿宋_GB2312" w:cs="仿宋_GB2312" w:eastAsia="仿宋_GB2312"/>
              </w:rPr>
              <w:t>磋商响应有效期达到磋商文件的要求；</w:t>
            </w:r>
          </w:p>
        </w:tc>
        <w:tc>
          <w:tcPr>
            <w:tcW w:type="dxa" w:w="1661"/>
          </w:tcPr>
          <w:p>
            <w:pPr>
              <w:pStyle w:val="null3"/>
            </w:pPr>
            <w:r>
              <w:rPr>
                <w:rFonts w:ascii="仿宋_GB2312" w:hAnsi="仿宋_GB2312" w:cs="仿宋_GB2312" w:eastAsia="仿宋_GB2312"/>
              </w:rPr>
              <w:t>响应文件封面 报价一览表.docx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供应商针对同一服务未递交两份或多份内容不同的响应文件，未出现选择性报价；</w:t>
            </w:r>
          </w:p>
        </w:tc>
        <w:tc>
          <w:tcPr>
            <w:tcW w:type="dxa" w:w="1661"/>
          </w:tcPr>
          <w:p>
            <w:pPr>
              <w:pStyle w:val="null3"/>
            </w:pPr>
            <w:r>
              <w:rPr>
                <w:rFonts w:ascii="仿宋_GB2312" w:hAnsi="仿宋_GB2312" w:cs="仿宋_GB2312" w:eastAsia="仿宋_GB2312"/>
              </w:rPr>
              <w:t>响应文件封面 报价一览表.docx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符合商务、技术要求</w:t>
            </w:r>
          </w:p>
        </w:tc>
        <w:tc>
          <w:tcPr>
            <w:tcW w:type="dxa" w:w="3322"/>
          </w:tcPr>
          <w:p>
            <w:pPr>
              <w:pStyle w:val="null3"/>
            </w:pPr>
            <w:r>
              <w:rPr>
                <w:rFonts w:ascii="仿宋_GB2312" w:hAnsi="仿宋_GB2312" w:cs="仿宋_GB2312" w:eastAsia="仿宋_GB2312"/>
              </w:rPr>
              <w:t>符合商务、技术要求，不存在重大负偏离；</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响应文件未附有采购人不能接受的条件</w:t>
            </w:r>
          </w:p>
        </w:tc>
        <w:tc>
          <w:tcPr>
            <w:tcW w:type="dxa" w:w="3322"/>
          </w:tcPr>
          <w:p>
            <w:pPr>
              <w:pStyle w:val="null3"/>
            </w:pPr>
            <w:r>
              <w:rPr>
                <w:rFonts w:ascii="仿宋_GB2312" w:hAnsi="仿宋_GB2312" w:cs="仿宋_GB2312" w:eastAsia="仿宋_GB2312"/>
              </w:rPr>
              <w:t>响应文件未附有采购人不能接受的条件；</w:t>
            </w:r>
          </w:p>
        </w:tc>
        <w:tc>
          <w:tcPr>
            <w:tcW w:type="dxa" w:w="1661"/>
          </w:tcPr>
          <w:p>
            <w:pPr>
              <w:pStyle w:val="null3"/>
            </w:pPr>
            <w:r>
              <w:rPr>
                <w:rFonts w:ascii="仿宋_GB2312" w:hAnsi="仿宋_GB2312" w:cs="仿宋_GB2312" w:eastAsia="仿宋_GB2312"/>
              </w:rPr>
              <w:t>报价一览表.docx 服务内容及服务邀请应答表 中小企业声明函 商务应答表 承诺书.docx 报价表 资格证明文件.docx 响应文件封面 业绩证明文件及响应方案说明.docx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符合磋商文件规定的其他实质性要求</w:t>
            </w:r>
          </w:p>
        </w:tc>
        <w:tc>
          <w:tcPr>
            <w:tcW w:type="dxa" w:w="3322"/>
          </w:tcPr>
          <w:p>
            <w:pPr>
              <w:pStyle w:val="null3"/>
            </w:pPr>
            <w:r>
              <w:rPr>
                <w:rFonts w:ascii="仿宋_GB2312" w:hAnsi="仿宋_GB2312" w:cs="仿宋_GB2312" w:eastAsia="仿宋_GB2312"/>
              </w:rPr>
              <w:t>符合磋商文件规定的其他实质性要求；</w:t>
            </w:r>
          </w:p>
        </w:tc>
        <w:tc>
          <w:tcPr>
            <w:tcW w:type="dxa" w:w="1661"/>
          </w:tcPr>
          <w:p>
            <w:pPr>
              <w:pStyle w:val="null3"/>
            </w:pPr>
            <w:r>
              <w:rPr>
                <w:rFonts w:ascii="仿宋_GB2312" w:hAnsi="仿宋_GB2312" w:cs="仿宋_GB2312" w:eastAsia="仿宋_GB2312"/>
              </w:rPr>
              <w:t>报价一览表.docx 服务内容及服务邀请应答表 中小企业声明函 商务应答表 承诺书.docx 报价表 资格证明文件.docx 响应文件封面 业绩证明文件及响应方案说明.docx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符合《中华人民共和国政府采购法》有关规定和磋商纪律</w:t>
            </w:r>
          </w:p>
        </w:tc>
        <w:tc>
          <w:tcPr>
            <w:tcW w:type="dxa" w:w="3322"/>
          </w:tcPr>
          <w:p>
            <w:pPr>
              <w:pStyle w:val="null3"/>
            </w:pPr>
            <w:r>
              <w:rPr>
                <w:rFonts w:ascii="仿宋_GB2312" w:hAnsi="仿宋_GB2312" w:cs="仿宋_GB2312" w:eastAsia="仿宋_GB2312"/>
              </w:rPr>
              <w:t>符合《中华人民共和国政府采购法》有关规定和磋商纪律。</w:t>
            </w:r>
          </w:p>
        </w:tc>
        <w:tc>
          <w:tcPr>
            <w:tcW w:type="dxa" w:w="1661"/>
          </w:tcPr>
          <w:p>
            <w:pPr>
              <w:pStyle w:val="null3"/>
            </w:pPr>
            <w:r>
              <w:rPr>
                <w:rFonts w:ascii="仿宋_GB2312" w:hAnsi="仿宋_GB2312" w:cs="仿宋_GB2312" w:eastAsia="仿宋_GB2312"/>
              </w:rPr>
              <w:t>报价一览表.docx 服务内容及服务邀请应答表 中小企业声明函 商务应答表 承诺书.docx 报价表 资格证明文件.docx 响应文件封面 业绩证明文件及响应方案说明.docx 残疾人福利性单位声明函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企业业绩证明</w:t>
            </w:r>
          </w:p>
        </w:tc>
        <w:tc>
          <w:tcPr>
            <w:tcW w:type="dxa" w:w="2492"/>
          </w:tcPr>
          <w:p>
            <w:pPr>
              <w:pStyle w:val="null3"/>
            </w:pPr>
            <w:r>
              <w:rPr>
                <w:rFonts w:ascii="仿宋_GB2312" w:hAnsi="仿宋_GB2312" w:cs="仿宋_GB2312" w:eastAsia="仿宋_GB2312"/>
              </w:rPr>
              <w:t>提供2022年以来类似项目业绩合同（以合同签订时间为准），每份计2.5分，满分10分。 （注：以上证明文件在磋商响应文件中附业绩合同扫描件并加盖公司公章。）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对项目背景以及项目工作目标的总体理解与认识</w:t>
            </w:r>
          </w:p>
        </w:tc>
        <w:tc>
          <w:tcPr>
            <w:tcW w:type="dxa" w:w="2492"/>
          </w:tcPr>
          <w:p>
            <w:pPr>
              <w:pStyle w:val="null3"/>
            </w:pPr>
            <w:r>
              <w:rPr>
                <w:rFonts w:ascii="仿宋_GB2312" w:hAnsi="仿宋_GB2312" w:cs="仿宋_GB2312" w:eastAsia="仿宋_GB2312"/>
              </w:rPr>
              <w:t>对项目背景以及项目工作目标的总体理解与认识。本项满分11分。 1）认识准确，理解完全符合本项目要求，计[7-11]分； 2）认识基本准确，理解与本项目贴切程度弱，得[4～7)分； 3）认识、理解程度差，计[0-4)分。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针对本项目制定详细的水资源论证咨询方案</w:t>
            </w:r>
          </w:p>
        </w:tc>
        <w:tc>
          <w:tcPr>
            <w:tcW w:type="dxa" w:w="2492"/>
          </w:tcPr>
          <w:p>
            <w:pPr>
              <w:pStyle w:val="null3"/>
            </w:pPr>
            <w:r>
              <w:rPr>
                <w:rFonts w:ascii="仿宋_GB2312" w:hAnsi="仿宋_GB2312" w:cs="仿宋_GB2312" w:eastAsia="仿宋_GB2312"/>
              </w:rPr>
              <w:t>针对本项目制定详细的水资源论证咨询方案,本项满分12分。 1）方案完整、可操作性强、细节考虑到位，且优于磋商文件要求的计[7-12]分； 2）方案基本完整，有相对的可操作性，描述不完整的计[4-7)； 3）描述符合磋商文件要求，内容操作性不强，计[0-4)分。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拟承担本项目的项目负责人具备相关专业职称，具有高级工程师职称或同等职称的，得3分，具有中级工程师或同等职称的得2分，其他不得分。 注：需提供人员职称证书及在响应单位缴纳的社保证明，并加盖供应商公章。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人员设置及人员分工</w:t>
            </w:r>
          </w:p>
        </w:tc>
        <w:tc>
          <w:tcPr>
            <w:tcW w:type="dxa" w:w="2492"/>
          </w:tcPr>
          <w:p>
            <w:pPr>
              <w:pStyle w:val="null3"/>
            </w:pPr>
            <w:r>
              <w:rPr>
                <w:rFonts w:ascii="仿宋_GB2312" w:hAnsi="仿宋_GB2312" w:cs="仿宋_GB2312" w:eastAsia="仿宋_GB2312"/>
              </w:rPr>
              <w:t>人员设置及人员分工安排合理、职责划分明确，具备与水资源论证相关专业人员（除项目负责人外），根据人员数量、专业程度、工作经验等进行赋分，本项满分12分； 1）人员配备合理，工作人员专业性强，计[7～12]分； 2）人员配备较合理，工作人员专业水平良好计[4～7)分； 3）人员配备基本完善、专业水平差计[0～4)分。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服务质量管理方案</w:t>
            </w:r>
          </w:p>
        </w:tc>
        <w:tc>
          <w:tcPr>
            <w:tcW w:type="dxa" w:w="2492"/>
          </w:tcPr>
          <w:p>
            <w:pPr>
              <w:pStyle w:val="null3"/>
            </w:pPr>
            <w:r>
              <w:rPr>
                <w:rFonts w:ascii="仿宋_GB2312" w:hAnsi="仿宋_GB2312" w:cs="仿宋_GB2312" w:eastAsia="仿宋_GB2312"/>
              </w:rPr>
              <w:t>确保本项目服务质量的技术组织措施，本项满分10分。 1）根据措施描述完整、可操作性强、细节描述详细优越的计[7～10]分； 2）有相对的操作性描述较详细计[3～7)分； 3）相对比内容缺少严重的计[0～3）分。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实施进度安排合理，能够在承诺的时间内完成服务。根据其响应程度计[0～6]分。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重难点的分析、合理化 建议</w:t>
            </w:r>
          </w:p>
        </w:tc>
        <w:tc>
          <w:tcPr>
            <w:tcW w:type="dxa" w:w="2492"/>
          </w:tcPr>
          <w:p>
            <w:pPr>
              <w:pStyle w:val="null3"/>
            </w:pPr>
            <w:r>
              <w:rPr>
                <w:rFonts w:ascii="仿宋_GB2312" w:hAnsi="仿宋_GB2312" w:cs="仿宋_GB2312" w:eastAsia="仿宋_GB2312"/>
              </w:rPr>
              <w:t>针对本项目重难点的分析、应对措施及其他针对本项目的合理化建议，根据建议描述完整、可操作性、细节描述情况计[0～6]分。本项满分6分。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完全承诺磋商文件和合同条款的要求，对成果交付时间内质量、人员到位情况、后期服务的响应时间及配合程度等做出实质性承诺（内容应当包含不能完全履行承诺时愿意接受相关处罚的相关承诺），本项满分10分。 1）承诺内容可操作性强、细节描述详细、完整优越计[7～10)分； 2）有相对的操作性、承诺内容较完整计[4～7)分； 3）描述内容缺失严重的计[0～4)分。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报价最低的供应商的价格为磋商基准价，其价格分为满分。其他供应商的价格分统一按照下列公式计算：磋商报价得分=（磋商基准价/最后磋商报价）×价格权重（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报价一览表.docx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及《关于进一步加大政府采购支持中小企业力度的通知》（财库〔2022〕19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详见附件：业绩证明文件及响应方案说明.docx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详见附件：第八章 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