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版本号：CGZC-2025-118-SXLX25-02-071Z(F)20250911001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2025-2027年养护管理辅助服务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CGZC-2025-118-SXLX25-02-071Z(F)</w:t>
      </w:r>
      <w:r>
        <w:br/>
      </w:r>
      <w:r>
        <w:br/>
      </w:r>
      <w:r>
        <w:br/>
      </w:r>
    </w:p>
    <w:p>
      <w:pPr>
        <w:pStyle w:val="null3"/>
        <w:jc w:val="center"/>
        <w:outlineLvl w:val="2"/>
      </w:pPr>
      <w:r>
        <w:rPr>
          <w:rFonts w:ascii="仿宋_GB2312" w:hAnsi="仿宋_GB2312" w:cs="仿宋_GB2312" w:eastAsia="仿宋_GB2312"/>
          <w:sz w:val="28"/>
          <w:b/>
        </w:rPr>
        <w:t>西安浐灞国际港生态环境局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西安浐灞国际港生态环境局</w:t>
      </w:r>
      <w:r>
        <w:rPr>
          <w:rFonts w:ascii="仿宋_GB2312" w:hAnsi="仿宋_GB2312" w:cs="仿宋_GB2312" w:eastAsia="仿宋_GB2312"/>
        </w:rPr>
        <w:t>委托，拟对</w:t>
      </w:r>
      <w:r>
        <w:rPr>
          <w:rFonts w:ascii="仿宋_GB2312" w:hAnsi="仿宋_GB2312" w:cs="仿宋_GB2312" w:eastAsia="仿宋_GB2312"/>
        </w:rPr>
        <w:t>2025-2027年养护管理辅助服务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CGZC-2025-118-SXLX25-02-071Z(F)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2025-2027年养护管理辅助服务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港务大道及沿线支路沿线、秦汉大道沿线两侧绿地及支路、纺渭路、杏园立交周边、新寺遗址公园、启航公园等区域绿地养护及与绿化相关的养护辅助管理工作。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采购包1（2025-2027年养护管理辅助服务）：属于专门面向中小企业采购。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1、特定资格要求如下:：(1)供应商的营业执照等证明文件，自然人的身份证明； (2)法定代表人（单位负责人）参加磋商的，提供本人身份证复印件；法定代表人（单位负责人）授权他人参加磋商的，提供法定代表人（单位负责人）委托授权书并出示被授权代表的身份证复印件以及2025年1月至今任意时段在本单位注册的已缴纳的社会保障资金缴存单据或社保机构开具的社会保险参保缴费情况证明； (3)提供2023年度或2024年度经审计的财务会计报告或其提交响应文件截止时间前3个月内银行出具的资信证明。 (4)提供供应商2025年1月至今已缴纳任意时段任意税种完税凭证或税务机关开具的完税证明（个人所得税除外）；依法免税的应提供相关文件证明； (5)提供供应商2025年1月至今任意时段已缴纳的社会保障资金缴存单据或社保机构开具的社会保险参保缴费情况证明；依法不需要缴纳社会保障资金的应提供相关文件证明； (6)具备履行合同所必需的设备和专业技术能力的证明； (7)参加本次磋商前3年内，在经营活动中没有重大违法记录的书面声明； (8)不得为“信用中国”网站(http://www.creditchina.gov.cn)列入“失信被执行人、重大税收违法失信主体”的供应商；不得为中国政府采购网(http://www.ccgp.gov.cn)“政府采购严重违法失信行为记录名单”中的供应商； (9)单位负责人为同一人或者存在直接控股、管理关系的不同供应商，不得参加同一合同项下的采购活动 (10)本项目不接受联合体磋商。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029-83597786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展改革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注：招标代理服务费计入投标报价，但报价中不需要单独列项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西安浐灞国际港生态环境局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人要求执行，根据所服务的内容并按照所对应的法律法规、规范标准、技术规程等实施，在实施过程中，如果国家或有关部门颁布了新的技术标准或规范，则供应商应采用新的标准或规范进行实施。 执行标准根据（包括但不限于）以下质量标准进行： 1.《城市园林绿化养护标准》（CJJ/T287-2018）； 2.《城镇道路养护技术规范》（CJJ36-2016）； 3.《西安市市政工程设施管理条例》； 4.《西安市城市夜景照明管理办法》; 供应商提出验收申请之日起10日内组织验收，自行验收。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港务大道及沿线支路沿线、秦汉大道沿线两侧绿地及支路、纺渭路、杏园立交周边、新寺遗址公园、启航公园等区域绿地养护及与绿化相关的养护辅助管理工作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2025-2027年养护管理辅助服务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标的名称：2025-2027年养护管理辅助服务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FF"/>
              </w:rPr>
              <w:t>一、项目概况</w:t>
            </w:r>
          </w:p>
          <w:p>
            <w:pPr>
              <w:pStyle w:val="null3"/>
              <w:ind w:firstLine="410"/>
              <w:jc w:val="both"/>
            </w:pPr>
            <w:r>
              <w:rPr>
                <w:rFonts w:ascii="仿宋_GB2312" w:hAnsi="仿宋_GB2312" w:cs="仿宋_GB2312" w:eastAsia="仿宋_GB2312"/>
                <w:b/>
                <w:color w:val="0000FF"/>
              </w:rPr>
              <w:t>1.1项目基本情况：</w:t>
            </w:r>
            <w:r>
              <w:rPr>
                <w:rFonts w:ascii="仿宋_GB2312" w:hAnsi="仿宋_GB2312" w:cs="仿宋_GB2312" w:eastAsia="仿宋_GB2312"/>
                <w:color w:val="0000FF"/>
              </w:rPr>
              <w:t>港务大道及沿线支路沿线、秦汉大道沿线两侧绿地及支路、纺渭路、杏园立交周边、新寺遗址公园、启航公园等区域绿地养护及与绿化相关的养护辅助管理工作；</w:t>
            </w:r>
          </w:p>
          <w:p>
            <w:pPr>
              <w:pStyle w:val="null3"/>
              <w:ind w:firstLine="410"/>
              <w:jc w:val="both"/>
            </w:pPr>
            <w:r>
              <w:rPr>
                <w:rFonts w:ascii="仿宋_GB2312" w:hAnsi="仿宋_GB2312" w:cs="仿宋_GB2312" w:eastAsia="仿宋_GB2312"/>
                <w:b/>
                <w:color w:val="0000FF"/>
              </w:rPr>
              <w:t>1.2本项目采购标的名称：</w:t>
            </w:r>
            <w:r>
              <w:rPr>
                <w:rFonts w:ascii="仿宋_GB2312" w:hAnsi="仿宋_GB2312" w:cs="仿宋_GB2312" w:eastAsia="仿宋_GB2312"/>
                <w:color w:val="0000FF"/>
              </w:rPr>
              <w:t>2025-2027年养护管理辅助服务 。本项目所属行业为其他未列明行业。</w:t>
            </w:r>
          </w:p>
          <w:p>
            <w:pPr>
              <w:pStyle w:val="null3"/>
              <w:spacing w:before="120" w:after="120"/>
              <w:jc w:val="left"/>
              <w:outlineLvl w:val="1"/>
            </w:pPr>
            <w:r>
              <w:rPr>
                <w:rFonts w:ascii="仿宋_GB2312" w:hAnsi="仿宋_GB2312" w:cs="仿宋_GB2312" w:eastAsia="仿宋_GB2312"/>
                <w:sz w:val="28"/>
                <w:b/>
                <w:color w:val="0000FF"/>
              </w:rPr>
              <w:t>二</w:t>
            </w:r>
            <w:r>
              <w:rPr>
                <w:rFonts w:ascii="仿宋_GB2312" w:hAnsi="仿宋_GB2312" w:cs="仿宋_GB2312" w:eastAsia="仿宋_GB2312"/>
                <w:sz w:val="28"/>
                <w:b/>
                <w:color w:val="0000FF"/>
              </w:rPr>
              <w:t>、</w:t>
            </w:r>
            <w:r>
              <w:rPr>
                <w:rFonts w:ascii="仿宋_GB2312" w:hAnsi="仿宋_GB2312" w:cs="仿宋_GB2312" w:eastAsia="仿宋_GB2312"/>
                <w:sz w:val="28"/>
                <w:b/>
                <w:color w:val="0000FF"/>
              </w:rPr>
              <w:t>服务</w:t>
            </w:r>
            <w:r>
              <w:rPr>
                <w:rFonts w:ascii="仿宋_GB2312" w:hAnsi="仿宋_GB2312" w:cs="仿宋_GB2312" w:eastAsia="仿宋_GB2312"/>
                <w:sz w:val="28"/>
                <w:b/>
                <w:color w:val="0000FF"/>
              </w:rPr>
              <w:t>内容及要求</w:t>
            </w:r>
          </w:p>
          <w:p>
            <w:pPr>
              <w:pStyle w:val="null3"/>
              <w:ind w:firstLine="402"/>
              <w:jc w:val="left"/>
            </w:pPr>
            <w:r>
              <w:rPr>
                <w:rFonts w:ascii="仿宋_GB2312" w:hAnsi="仿宋_GB2312" w:cs="仿宋_GB2312" w:eastAsia="仿宋_GB2312"/>
                <w:sz w:val="20"/>
                <w:b/>
                <w:color w:val="0000FF"/>
              </w:rPr>
              <w:t>1、工作范围：</w:t>
            </w:r>
          </w:p>
          <w:p>
            <w:pPr>
              <w:pStyle w:val="null3"/>
              <w:ind w:firstLine="400"/>
              <w:jc w:val="left"/>
            </w:pPr>
            <w:r>
              <w:rPr>
                <w:rFonts w:ascii="仿宋_GB2312" w:hAnsi="仿宋_GB2312" w:cs="仿宋_GB2312" w:eastAsia="仿宋_GB2312"/>
                <w:sz w:val="20"/>
                <w:color w:val="0000FF"/>
              </w:rPr>
              <w:t>港务大道及沿线支路沿线、秦汉大道沿线两侧绿地及支路、纺渭路、杏园立交周边、新寺遗址公园、启航公园等区域绿地养护及与绿化相关的养护辅助管理工作，涵盖巡查督导、数据采集、质量评估、档案管理等全流程辅助工作，其中绿化面积约</w:t>
            </w:r>
            <w:r>
              <w:rPr>
                <w:rFonts w:ascii="仿宋_GB2312" w:hAnsi="仿宋_GB2312" w:cs="仿宋_GB2312" w:eastAsia="仿宋_GB2312"/>
                <w:sz w:val="20"/>
                <w:color w:val="0000FF"/>
              </w:rPr>
              <w:t>380万平方米，行道树约1.9万株；</w:t>
            </w:r>
          </w:p>
          <w:p>
            <w:pPr>
              <w:pStyle w:val="null3"/>
              <w:ind w:firstLine="402"/>
              <w:jc w:val="left"/>
            </w:pPr>
            <w:r>
              <w:rPr>
                <w:rFonts w:ascii="仿宋_GB2312" w:hAnsi="仿宋_GB2312" w:cs="仿宋_GB2312" w:eastAsia="仿宋_GB2312"/>
                <w:sz w:val="20"/>
                <w:b/>
                <w:color w:val="0000FF"/>
              </w:rPr>
              <w:t>2、服务内容：</w:t>
            </w:r>
          </w:p>
          <w:p>
            <w:pPr>
              <w:pStyle w:val="null3"/>
              <w:ind w:firstLine="402"/>
              <w:jc w:val="left"/>
            </w:pPr>
            <w:r>
              <w:rPr>
                <w:rFonts w:ascii="仿宋_GB2312" w:hAnsi="仿宋_GB2312" w:cs="仿宋_GB2312" w:eastAsia="仿宋_GB2312"/>
                <w:sz w:val="20"/>
                <w:b/>
                <w:color w:val="0000FF"/>
              </w:rPr>
              <w:t>2.1辅助管理：</w:t>
            </w:r>
          </w:p>
          <w:p>
            <w:pPr>
              <w:pStyle w:val="null3"/>
              <w:ind w:firstLine="400"/>
              <w:jc w:val="left"/>
            </w:pPr>
            <w:r>
              <w:rPr>
                <w:rFonts w:ascii="仿宋_GB2312" w:hAnsi="仿宋_GB2312" w:cs="仿宋_GB2312" w:eastAsia="仿宋_GB2312"/>
                <w:sz w:val="20"/>
                <w:color w:val="0000FF"/>
              </w:rPr>
              <w:t>①审查养护单位组织设计方案；</w:t>
            </w:r>
          </w:p>
          <w:p>
            <w:pPr>
              <w:pStyle w:val="null3"/>
              <w:ind w:firstLine="400"/>
              <w:jc w:val="left"/>
            </w:pPr>
            <w:r>
              <w:rPr>
                <w:rFonts w:ascii="仿宋_GB2312" w:hAnsi="仿宋_GB2312" w:cs="仿宋_GB2312" w:eastAsia="仿宋_GB2312"/>
                <w:sz w:val="20"/>
                <w:color w:val="0000FF"/>
              </w:rPr>
              <w:t>②协助制定园区年度/月度养护计划并提供专业技术建议；</w:t>
            </w:r>
          </w:p>
          <w:p>
            <w:pPr>
              <w:pStyle w:val="null3"/>
              <w:ind w:firstLine="400"/>
              <w:jc w:val="left"/>
            </w:pPr>
            <w:r>
              <w:rPr>
                <w:rFonts w:ascii="仿宋_GB2312" w:hAnsi="仿宋_GB2312" w:cs="仿宋_GB2312" w:eastAsia="仿宋_GB2312"/>
                <w:sz w:val="20"/>
                <w:color w:val="0000FF"/>
              </w:rPr>
              <w:t>③组织养护单位进行专业技术培训，每年不少于8次现场实操指导；</w:t>
            </w:r>
          </w:p>
          <w:p>
            <w:pPr>
              <w:pStyle w:val="null3"/>
              <w:ind w:firstLine="400"/>
              <w:jc w:val="left"/>
            </w:pPr>
            <w:r>
              <w:rPr>
                <w:rFonts w:ascii="仿宋_GB2312" w:hAnsi="仿宋_GB2312" w:cs="仿宋_GB2312" w:eastAsia="仿宋_GB2312"/>
                <w:sz w:val="20"/>
                <w:color w:val="0000FF"/>
              </w:rPr>
              <w:t>④建立应急响应机制，极端天气后及时督促养护单位完成现场问题处理。</w:t>
            </w:r>
          </w:p>
          <w:p>
            <w:pPr>
              <w:pStyle w:val="null3"/>
              <w:ind w:firstLine="400"/>
              <w:jc w:val="left"/>
            </w:pPr>
            <w:r>
              <w:rPr>
                <w:rFonts w:ascii="仿宋_GB2312" w:hAnsi="仿宋_GB2312" w:cs="仿宋_GB2312" w:eastAsia="仿宋_GB2312"/>
                <w:sz w:val="20"/>
                <w:color w:val="0000FF"/>
              </w:rPr>
              <w:t xml:space="preserve">⑤养护项目月度考核制度，形成现场问题专项通报，组织养护考核会议；   </w:t>
            </w:r>
          </w:p>
          <w:p>
            <w:pPr>
              <w:pStyle w:val="null3"/>
              <w:ind w:firstLine="400"/>
              <w:jc w:val="left"/>
            </w:pPr>
            <w:r>
              <w:rPr>
                <w:rFonts w:ascii="仿宋_GB2312" w:hAnsi="仿宋_GB2312" w:cs="仿宋_GB2312" w:eastAsia="仿宋_GB2312"/>
                <w:sz w:val="20"/>
                <w:color w:val="0000FF"/>
              </w:rPr>
              <w:t>⑥审查养护计划与方案： 年度、季度、月度养护计划，专项方案（如抗旱、防寒、病虫害防治、大树养护、水体养护等）的针对性、可行性、技术合理性；</w:t>
            </w:r>
          </w:p>
          <w:p>
            <w:pPr>
              <w:pStyle w:val="null3"/>
              <w:ind w:firstLine="400"/>
              <w:jc w:val="left"/>
            </w:pPr>
            <w:r>
              <w:rPr>
                <w:rFonts w:ascii="仿宋_GB2312" w:hAnsi="仿宋_GB2312" w:cs="仿宋_GB2312" w:eastAsia="仿宋_GB2312"/>
                <w:sz w:val="20"/>
                <w:color w:val="0000FF"/>
              </w:rPr>
              <w:t>⑦召开养护管理交底会：明确管理程序、工作方法、报验要求、沟通机制；</w:t>
            </w:r>
          </w:p>
          <w:p>
            <w:pPr>
              <w:pStyle w:val="null3"/>
              <w:ind w:firstLine="400"/>
              <w:jc w:val="left"/>
            </w:pPr>
            <w:r>
              <w:rPr>
                <w:rFonts w:ascii="仿宋_GB2312" w:hAnsi="仿宋_GB2312" w:cs="仿宋_GB2312" w:eastAsia="仿宋_GB2312"/>
                <w:sz w:val="20"/>
                <w:color w:val="0000FF"/>
              </w:rPr>
              <w:t>⑧工序检查： 对浇水、除草、施肥、修剪、病虫害防治、保洁等日常工序进行过程检查，全面落实相关工作；</w:t>
            </w:r>
          </w:p>
          <w:p>
            <w:pPr>
              <w:pStyle w:val="null3"/>
              <w:ind w:firstLine="400"/>
              <w:jc w:val="left"/>
            </w:pPr>
            <w:r>
              <w:rPr>
                <w:rFonts w:ascii="仿宋_GB2312" w:hAnsi="仿宋_GB2312" w:cs="仿宋_GB2312" w:eastAsia="仿宋_GB2312"/>
                <w:sz w:val="20"/>
                <w:color w:val="0000FF"/>
              </w:rPr>
              <w:t>⑨审核养护记录：检查养护单位的日常记录、病虫害防治台账，建立病虫害预警机制定期上报现场病虫害发生情况；</w:t>
            </w:r>
          </w:p>
          <w:p>
            <w:pPr>
              <w:pStyle w:val="null3"/>
              <w:ind w:firstLine="400"/>
              <w:jc w:val="left"/>
            </w:pPr>
            <w:r>
              <w:rPr>
                <w:rFonts w:ascii="仿宋_GB2312" w:hAnsi="仿宋_GB2312" w:cs="仿宋_GB2312" w:eastAsia="仿宋_GB2312"/>
                <w:sz w:val="20"/>
                <w:color w:val="0000FF"/>
              </w:rPr>
              <w:t>考核指标</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计划通过率</w:t>
            </w:r>
            <w:r>
              <w:rPr>
                <w:rFonts w:ascii="仿宋_GB2312" w:hAnsi="仿宋_GB2312" w:cs="仿宋_GB2312" w:eastAsia="仿宋_GB2312"/>
                <w:sz w:val="20"/>
                <w:color w:val="0000FF"/>
              </w:rPr>
              <w:t>≥95%</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培训覆盖率</w:t>
            </w:r>
            <w:r>
              <w:rPr>
                <w:rFonts w:ascii="仿宋_GB2312" w:hAnsi="仿宋_GB2312" w:cs="仿宋_GB2312" w:eastAsia="仿宋_GB2312"/>
                <w:sz w:val="20"/>
                <w:color w:val="0000FF"/>
              </w:rPr>
              <w:t>100%</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应急响应及时率</w:t>
            </w:r>
            <w:r>
              <w:rPr>
                <w:rFonts w:ascii="仿宋_GB2312" w:hAnsi="仿宋_GB2312" w:cs="仿宋_GB2312" w:eastAsia="仿宋_GB2312"/>
                <w:sz w:val="20"/>
                <w:color w:val="0000FF"/>
              </w:rPr>
              <w:t>100%</w:t>
            </w:r>
            <w:r>
              <w:rPr>
                <w:rFonts w:ascii="仿宋_GB2312" w:hAnsi="仿宋_GB2312" w:cs="仿宋_GB2312" w:eastAsia="仿宋_GB2312"/>
                <w:sz w:val="20"/>
                <w:color w:val="0000FF"/>
              </w:rPr>
              <w:t>。</w:t>
            </w:r>
          </w:p>
          <w:p>
            <w:pPr>
              <w:pStyle w:val="null3"/>
              <w:ind w:firstLine="402"/>
              <w:jc w:val="left"/>
            </w:pPr>
            <w:r>
              <w:rPr>
                <w:rFonts w:ascii="仿宋_GB2312" w:hAnsi="仿宋_GB2312" w:cs="仿宋_GB2312" w:eastAsia="仿宋_GB2312"/>
                <w:sz w:val="20"/>
                <w:b/>
                <w:color w:val="0000FF"/>
              </w:rPr>
              <w:t>2.2巡查督导：</w:t>
            </w:r>
          </w:p>
          <w:p>
            <w:pPr>
              <w:pStyle w:val="null3"/>
              <w:ind w:firstLine="400"/>
              <w:jc w:val="left"/>
            </w:pPr>
            <w:r>
              <w:rPr>
                <w:rFonts w:ascii="仿宋_GB2312" w:hAnsi="仿宋_GB2312" w:cs="仿宋_GB2312" w:eastAsia="仿宋_GB2312"/>
                <w:sz w:val="20"/>
                <w:color w:val="0000FF"/>
              </w:rPr>
              <w:t>①人工巡查每日开展动态巡查，每周全覆盖巡查≥3次</w:t>
            </w:r>
          </w:p>
          <w:p>
            <w:pPr>
              <w:pStyle w:val="null3"/>
              <w:ind w:left="405"/>
              <w:jc w:val="left"/>
            </w:pPr>
            <w:r>
              <w:rPr>
                <w:rFonts w:ascii="仿宋_GB2312" w:hAnsi="仿宋_GB2312" w:cs="仿宋_GB2312" w:eastAsia="仿宋_GB2312"/>
                <w:sz w:val="20"/>
                <w:color w:val="0000FF"/>
              </w:rPr>
              <w:t>数据要求</w:t>
            </w:r>
            <w:r>
              <w:rPr>
                <w:rFonts w:ascii="仿宋_GB2312" w:hAnsi="仿宋_GB2312" w:cs="仿宋_GB2312" w:eastAsia="仿宋_GB2312"/>
                <w:sz w:val="20"/>
                <w:color w:val="0000FF"/>
              </w:rPr>
              <w:t>：</w:t>
            </w:r>
            <w:r>
              <w:br/>
            </w:r>
            <w:r>
              <w:rPr>
                <w:rFonts w:ascii="仿宋_GB2312" w:hAnsi="仿宋_GB2312" w:cs="仿宋_GB2312" w:eastAsia="仿宋_GB2312"/>
                <w:sz w:val="20"/>
                <w:color w:val="0000FF"/>
              </w:rPr>
              <w:t>问题发现准确率</w:t>
            </w:r>
            <w:r>
              <w:rPr>
                <w:rFonts w:ascii="仿宋_GB2312" w:hAnsi="仿宋_GB2312" w:cs="仿宋_GB2312" w:eastAsia="仿宋_GB2312"/>
                <w:sz w:val="20"/>
                <w:color w:val="0000FF"/>
              </w:rPr>
              <w:t>≥98%</w:t>
            </w:r>
            <w:r>
              <w:rPr>
                <w:rFonts w:ascii="仿宋_GB2312" w:hAnsi="仿宋_GB2312" w:cs="仿宋_GB2312" w:eastAsia="仿宋_GB2312"/>
                <w:sz w:val="20"/>
                <w:color w:val="0000FF"/>
              </w:rPr>
              <w:t>；</w:t>
            </w:r>
          </w:p>
          <w:p>
            <w:pPr>
              <w:pStyle w:val="null3"/>
              <w:ind w:firstLine="400"/>
              <w:jc w:val="left"/>
            </w:pPr>
            <w:r>
              <w:rPr>
                <w:rFonts w:ascii="仿宋_GB2312" w:hAnsi="仿宋_GB2312" w:cs="仿宋_GB2312" w:eastAsia="仿宋_GB2312"/>
                <w:sz w:val="20"/>
                <w:color w:val="0000FF"/>
              </w:rPr>
              <w:t>整改闭环率</w:t>
            </w:r>
            <w:r>
              <w:rPr>
                <w:rFonts w:ascii="仿宋_GB2312" w:hAnsi="仿宋_GB2312" w:cs="仿宋_GB2312" w:eastAsia="仿宋_GB2312"/>
                <w:sz w:val="20"/>
                <w:color w:val="0000FF"/>
              </w:rPr>
              <w:t>100%</w:t>
            </w:r>
            <w:r>
              <w:rPr>
                <w:rFonts w:ascii="仿宋_GB2312" w:hAnsi="仿宋_GB2312" w:cs="仿宋_GB2312" w:eastAsia="仿宋_GB2312"/>
                <w:sz w:val="20"/>
                <w:color w:val="0000FF"/>
              </w:rPr>
              <w:t>。</w:t>
            </w:r>
          </w:p>
          <w:p>
            <w:pPr>
              <w:pStyle w:val="null3"/>
              <w:ind w:firstLine="402"/>
              <w:jc w:val="left"/>
            </w:pPr>
            <w:r>
              <w:rPr>
                <w:rFonts w:ascii="仿宋_GB2312" w:hAnsi="仿宋_GB2312" w:cs="仿宋_GB2312" w:eastAsia="仿宋_GB2312"/>
                <w:sz w:val="20"/>
                <w:b/>
                <w:color w:val="0000FF"/>
              </w:rPr>
              <w:t>2.3数据采集：</w:t>
            </w:r>
          </w:p>
          <w:p>
            <w:pPr>
              <w:pStyle w:val="null3"/>
              <w:ind w:left="405"/>
              <w:jc w:val="left"/>
            </w:pPr>
            <w:r>
              <w:rPr>
                <w:rFonts w:ascii="仿宋_GB2312" w:hAnsi="仿宋_GB2312" w:cs="仿宋_GB2312" w:eastAsia="仿宋_GB2312"/>
                <w:sz w:val="20"/>
                <w:color w:val="0000FF"/>
              </w:rPr>
              <w:t>①</w:t>
            </w:r>
            <w:r>
              <w:rPr>
                <w:rFonts w:ascii="仿宋_GB2312" w:hAnsi="仿宋_GB2312" w:cs="仿宋_GB2312" w:eastAsia="仿宋_GB2312"/>
                <w:sz w:val="20"/>
                <w:color w:val="0000FF"/>
              </w:rPr>
              <w:t>每年更新植物台账，包括品种、数量、等</w:t>
            </w:r>
            <w:r>
              <w:rPr>
                <w:rFonts w:ascii="仿宋_GB2312" w:hAnsi="仿宋_GB2312" w:cs="仿宋_GB2312" w:eastAsia="仿宋_GB2312"/>
                <w:sz w:val="20"/>
                <w:color w:val="0000FF"/>
              </w:rPr>
              <w:t>。</w:t>
            </w:r>
          </w:p>
          <w:p>
            <w:pPr>
              <w:pStyle w:val="null3"/>
              <w:ind w:firstLine="402"/>
              <w:jc w:val="left"/>
            </w:pPr>
            <w:r>
              <w:rPr>
                <w:rFonts w:ascii="仿宋_GB2312" w:hAnsi="仿宋_GB2312" w:cs="仿宋_GB2312" w:eastAsia="仿宋_GB2312"/>
                <w:sz w:val="20"/>
                <w:b/>
                <w:color w:val="0000FF"/>
              </w:rPr>
              <w:t>2.4质量评估</w:t>
            </w:r>
            <w:r>
              <w:rPr>
                <w:rFonts w:ascii="仿宋_GB2312" w:hAnsi="仿宋_GB2312" w:cs="仿宋_GB2312" w:eastAsia="仿宋_GB2312"/>
                <w:sz w:val="20"/>
                <w:b/>
                <w:color w:val="0000FF"/>
              </w:rPr>
              <w:t>：</w:t>
            </w:r>
          </w:p>
          <w:p>
            <w:pPr>
              <w:pStyle w:val="null3"/>
              <w:ind w:left="405"/>
              <w:jc w:val="left"/>
            </w:pPr>
            <w:r>
              <w:rPr>
                <w:rFonts w:ascii="仿宋_GB2312" w:hAnsi="仿宋_GB2312" w:cs="仿宋_GB2312" w:eastAsia="仿宋_GB2312"/>
                <w:sz w:val="20"/>
                <w:color w:val="0000FF"/>
              </w:rPr>
              <w:t>①依据《城市园林绿化养护标准》（CJJ/T287-2018）制定三级考核指标</w:t>
            </w:r>
          </w:p>
          <w:p>
            <w:pPr>
              <w:pStyle w:val="null3"/>
              <w:ind w:left="405"/>
              <w:jc w:val="left"/>
            </w:pPr>
            <w:r>
              <w:rPr>
                <w:rFonts w:ascii="仿宋_GB2312" w:hAnsi="仿宋_GB2312" w:cs="仿宋_GB2312" w:eastAsia="仿宋_GB2312"/>
                <w:sz w:val="20"/>
                <w:color w:val="0000FF"/>
              </w:rPr>
              <w:t>一级指标：植物存活率</w:t>
            </w:r>
            <w:r>
              <w:rPr>
                <w:rFonts w:ascii="仿宋_GB2312" w:hAnsi="仿宋_GB2312" w:cs="仿宋_GB2312" w:eastAsia="仿宋_GB2312"/>
                <w:sz w:val="20"/>
                <w:color w:val="0000FF"/>
              </w:rPr>
              <w:t>≥95%、黄土裸露率≤3%</w:t>
            </w:r>
            <w:r>
              <w:rPr>
                <w:rFonts w:ascii="仿宋_GB2312" w:hAnsi="仿宋_GB2312" w:cs="仿宋_GB2312" w:eastAsia="仿宋_GB2312"/>
                <w:sz w:val="20"/>
                <w:color w:val="0000FF"/>
              </w:rPr>
              <w:t>；</w:t>
            </w:r>
          </w:p>
          <w:p>
            <w:pPr>
              <w:pStyle w:val="null3"/>
              <w:ind w:left="405"/>
              <w:jc w:val="left"/>
            </w:pPr>
            <w:r>
              <w:rPr>
                <w:rFonts w:ascii="仿宋_GB2312" w:hAnsi="仿宋_GB2312" w:cs="仿宋_GB2312" w:eastAsia="仿宋_GB2312"/>
                <w:sz w:val="20"/>
                <w:color w:val="0000FF"/>
              </w:rPr>
              <w:t>二级指标：修剪规范度、施肥科学性等</w:t>
            </w:r>
            <w:r>
              <w:rPr>
                <w:rFonts w:ascii="仿宋_GB2312" w:hAnsi="仿宋_GB2312" w:cs="仿宋_GB2312" w:eastAsia="仿宋_GB2312"/>
                <w:sz w:val="20"/>
                <w:color w:val="0000FF"/>
              </w:rPr>
              <w:t>12项技术参数</w:t>
            </w:r>
            <w:r>
              <w:rPr>
                <w:rFonts w:ascii="仿宋_GB2312" w:hAnsi="仿宋_GB2312" w:cs="仿宋_GB2312" w:eastAsia="仿宋_GB2312"/>
                <w:sz w:val="20"/>
                <w:color w:val="0000FF"/>
              </w:rPr>
              <w:t>；</w:t>
            </w:r>
          </w:p>
          <w:p>
            <w:pPr>
              <w:pStyle w:val="null3"/>
              <w:ind w:left="405"/>
              <w:jc w:val="left"/>
            </w:pPr>
            <w:r>
              <w:rPr>
                <w:rFonts w:ascii="仿宋_GB2312" w:hAnsi="仿宋_GB2312" w:cs="仿宋_GB2312" w:eastAsia="仿宋_GB2312"/>
                <w:sz w:val="20"/>
                <w:color w:val="0000FF"/>
              </w:rPr>
              <w:t>三级指标：市民投诉处理满意度</w:t>
            </w:r>
            <w:r>
              <w:rPr>
                <w:rFonts w:ascii="仿宋_GB2312" w:hAnsi="仿宋_GB2312" w:cs="仿宋_GB2312" w:eastAsia="仿宋_GB2312"/>
                <w:sz w:val="20"/>
                <w:color w:val="0000FF"/>
              </w:rPr>
              <w:t>≥90%</w:t>
            </w:r>
            <w:r>
              <w:rPr>
                <w:rFonts w:ascii="仿宋_GB2312" w:hAnsi="仿宋_GB2312" w:cs="仿宋_GB2312" w:eastAsia="仿宋_GB2312"/>
                <w:sz w:val="20"/>
                <w:color w:val="0000FF"/>
              </w:rPr>
              <w:t>；</w:t>
            </w:r>
          </w:p>
          <w:p>
            <w:pPr>
              <w:pStyle w:val="null3"/>
              <w:ind w:left="405"/>
              <w:jc w:val="left"/>
            </w:pPr>
            <w:r>
              <w:rPr>
                <w:rFonts w:ascii="仿宋_GB2312" w:hAnsi="仿宋_GB2312" w:cs="仿宋_GB2312" w:eastAsia="仿宋_GB2312"/>
                <w:sz w:val="20"/>
                <w:color w:val="0000FF"/>
              </w:rPr>
              <w:t>（优</w:t>
            </w:r>
            <w:r>
              <w:rPr>
                <w:rFonts w:ascii="仿宋_GB2312" w:hAnsi="仿宋_GB2312" w:cs="仿宋_GB2312" w:eastAsia="仿宋_GB2312"/>
                <w:sz w:val="20"/>
                <w:color w:val="0000FF"/>
              </w:rPr>
              <w:t>/合格/整改），每月发布红黑榜</w:t>
            </w:r>
            <w:r>
              <w:rPr>
                <w:rFonts w:ascii="仿宋_GB2312" w:hAnsi="仿宋_GB2312" w:cs="仿宋_GB2312" w:eastAsia="仿宋_GB2312"/>
                <w:sz w:val="20"/>
                <w:color w:val="0000FF"/>
              </w:rPr>
              <w:t>；</w:t>
            </w:r>
          </w:p>
          <w:p>
            <w:pPr>
              <w:pStyle w:val="null3"/>
              <w:ind w:firstLine="402"/>
              <w:jc w:val="left"/>
            </w:pPr>
            <w:r>
              <w:rPr>
                <w:rFonts w:ascii="仿宋_GB2312" w:hAnsi="仿宋_GB2312" w:cs="仿宋_GB2312" w:eastAsia="仿宋_GB2312"/>
                <w:sz w:val="20"/>
                <w:b/>
                <w:color w:val="0000FF"/>
              </w:rPr>
              <w:t>2.5档案管理</w:t>
            </w:r>
          </w:p>
          <w:p>
            <w:pPr>
              <w:pStyle w:val="null3"/>
              <w:ind w:left="405"/>
              <w:jc w:val="left"/>
            </w:pPr>
            <w:r>
              <w:rPr>
                <w:rFonts w:ascii="仿宋_GB2312" w:hAnsi="仿宋_GB2312" w:cs="仿宋_GB2312" w:eastAsia="仿宋_GB2312"/>
                <w:sz w:val="20"/>
                <w:color w:val="0000FF"/>
              </w:rPr>
              <w:t>①按《园林绿化养护管理规范》分类建立电子化养护档案库，实现电子化率100%；</w:t>
            </w:r>
          </w:p>
          <w:p>
            <w:pPr>
              <w:pStyle w:val="null3"/>
              <w:ind w:left="405"/>
              <w:jc w:val="left"/>
            </w:pPr>
            <w:r>
              <w:rPr>
                <w:rFonts w:ascii="仿宋_GB2312" w:hAnsi="仿宋_GB2312" w:cs="仿宋_GB2312" w:eastAsia="仿宋_GB2312"/>
                <w:sz w:val="20"/>
                <w:color w:val="0000FF"/>
              </w:rPr>
              <w:t>②苗木资产数据库（数量、种类）</w:t>
            </w:r>
          </w:p>
          <w:p>
            <w:pPr>
              <w:pStyle w:val="null3"/>
              <w:ind w:left="405"/>
              <w:jc w:val="left"/>
            </w:pPr>
            <w:r>
              <w:rPr>
                <w:rFonts w:ascii="仿宋_GB2312" w:hAnsi="仿宋_GB2312" w:cs="仿宋_GB2312" w:eastAsia="仿宋_GB2312"/>
                <w:sz w:val="20"/>
                <w:color w:val="0000FF"/>
              </w:rPr>
              <w:t>③养护作业日志（浇水、施肥、施肥等操作记录）</w:t>
            </w:r>
          </w:p>
          <w:p>
            <w:pPr>
              <w:pStyle w:val="null3"/>
              <w:ind w:left="405"/>
              <w:jc w:val="left"/>
            </w:pPr>
            <w:r>
              <w:rPr>
                <w:rFonts w:ascii="仿宋_GB2312" w:hAnsi="仿宋_GB2312" w:cs="仿宋_GB2312" w:eastAsia="仿宋_GB2312"/>
                <w:sz w:val="20"/>
                <w:color w:val="0000FF"/>
              </w:rPr>
              <w:t>④历史问题处置案例库</w:t>
            </w:r>
          </w:p>
          <w:p>
            <w:pPr>
              <w:pStyle w:val="null3"/>
              <w:ind w:left="405"/>
              <w:jc w:val="left"/>
            </w:pPr>
            <w:r>
              <w:rPr>
                <w:rFonts w:ascii="仿宋_GB2312" w:hAnsi="仿宋_GB2312" w:cs="仿宋_GB2312" w:eastAsia="仿宋_GB2312"/>
                <w:sz w:val="20"/>
                <w:color w:val="0000FF"/>
              </w:rPr>
              <w:t>⑤历史养护保存归档，当前年度资料实时更新。</w:t>
            </w:r>
          </w:p>
          <w:p>
            <w:pPr>
              <w:pStyle w:val="null3"/>
              <w:ind w:left="405"/>
              <w:jc w:val="left"/>
            </w:pPr>
            <w:r>
              <w:rPr>
                <w:rFonts w:ascii="仿宋_GB2312" w:hAnsi="仿宋_GB2312" w:cs="仿宋_GB2312" w:eastAsia="仿宋_GB2312"/>
                <w:sz w:val="20"/>
                <w:color w:val="0000FF"/>
              </w:rPr>
              <w:t>⑥督促养护单位提交《养</w:t>
            </w:r>
            <w:r>
              <w:rPr>
                <w:rFonts w:ascii="仿宋_GB2312" w:hAnsi="仿宋_GB2312" w:cs="仿宋_GB2312" w:eastAsia="仿宋_GB2312"/>
                <w:sz w:val="20"/>
                <w:color w:val="0000FF"/>
              </w:rPr>
              <w:t>护问题整改闭环报告》</w:t>
            </w:r>
            <w:r>
              <w:rPr>
                <w:rFonts w:ascii="仿宋_GB2312" w:hAnsi="仿宋_GB2312" w:cs="仿宋_GB2312" w:eastAsia="仿宋_GB2312"/>
                <w:sz w:val="20"/>
                <w:color w:val="0000FF"/>
              </w:rPr>
              <w:t>，</w:t>
            </w:r>
            <w:r>
              <w:rPr>
                <w:rFonts w:ascii="仿宋_GB2312" w:hAnsi="仿宋_GB2312" w:cs="仿宋_GB2312" w:eastAsia="仿宋_GB2312"/>
                <w:sz w:val="20"/>
                <w:color w:val="0000FF"/>
              </w:rPr>
              <w:t>并提供电子版资料一套存贮电子数据前，内容应与纸质内容一致，提交的文件需将名称备注明确：项目名称、主题内容以及提交文件的日期），纸质版资料一式</w:t>
            </w:r>
            <w:r>
              <w:rPr>
                <w:rFonts w:ascii="仿宋_GB2312" w:hAnsi="仿宋_GB2312" w:cs="仿宋_GB2312" w:eastAsia="仿宋_GB2312"/>
                <w:sz w:val="20"/>
                <w:color w:val="0000FF"/>
              </w:rPr>
              <w:t>4份</w:t>
            </w:r>
            <w:r>
              <w:rPr>
                <w:rFonts w:ascii="仿宋_GB2312" w:hAnsi="仿宋_GB2312" w:cs="仿宋_GB2312" w:eastAsia="仿宋_GB2312"/>
                <w:sz w:val="20"/>
                <w:color w:val="0000FF"/>
              </w:rPr>
              <w:t>文本需单独胶装装订，规格</w:t>
            </w:r>
            <w:r>
              <w:rPr>
                <w:rFonts w:ascii="仿宋_GB2312" w:hAnsi="仿宋_GB2312" w:cs="仿宋_GB2312" w:eastAsia="仿宋_GB2312"/>
                <w:sz w:val="20"/>
                <w:color w:val="0000FF"/>
              </w:rPr>
              <w:t>A3，共4套，正本1套，副本3套</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b/>
                <w:color w:val="0000FF"/>
              </w:rPr>
              <w:t>3、保密要求：</w:t>
            </w:r>
          </w:p>
          <w:p>
            <w:pPr>
              <w:pStyle w:val="null3"/>
              <w:ind w:firstLine="367"/>
              <w:jc w:val="left"/>
            </w:pPr>
            <w:r>
              <w:rPr>
                <w:rFonts w:ascii="仿宋_GB2312" w:hAnsi="仿宋_GB2312" w:cs="仿宋_GB2312" w:eastAsia="仿宋_GB2312"/>
                <w:sz w:val="20"/>
                <w:color w:val="0000FF"/>
              </w:rPr>
              <w:t>3.1 所有与本项目有关的采购人信息,包括采购人的专有财产和保密信息，未经采购人书面同意，供应商不得向任何第三方泄露该信息。供应商承诺仅在本项目而使用，仅限供应商及本单位相关人员使用并履行本合同规定的保密义务；本项目终止时，返还给采购人或在采购人的监督下销毁；</w:t>
            </w:r>
          </w:p>
          <w:p>
            <w:pPr>
              <w:pStyle w:val="null3"/>
              <w:ind w:firstLine="367"/>
              <w:jc w:val="left"/>
            </w:pPr>
            <w:r>
              <w:rPr>
                <w:rFonts w:ascii="仿宋_GB2312" w:hAnsi="仿宋_GB2312" w:cs="仿宋_GB2312" w:eastAsia="仿宋_GB2312"/>
                <w:sz w:val="20"/>
                <w:color w:val="0000FF"/>
              </w:rPr>
              <w:t xml:space="preserve">3.2 </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履行本</w:t>
            </w:r>
            <w:r>
              <w:rPr>
                <w:rFonts w:ascii="仿宋_GB2312" w:hAnsi="仿宋_GB2312" w:cs="仿宋_GB2312" w:eastAsia="仿宋_GB2312"/>
                <w:sz w:val="20"/>
                <w:color w:val="0000FF"/>
              </w:rPr>
              <w:t>项目</w:t>
            </w:r>
            <w:r>
              <w:rPr>
                <w:rFonts w:ascii="仿宋_GB2312" w:hAnsi="仿宋_GB2312" w:cs="仿宋_GB2312" w:eastAsia="仿宋_GB2312"/>
                <w:sz w:val="20"/>
                <w:color w:val="0000FF"/>
              </w:rPr>
              <w:t>过程中所有工作成果为保密信息，</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只能将其用于本</w:t>
            </w:r>
            <w:r>
              <w:rPr>
                <w:rFonts w:ascii="仿宋_GB2312" w:hAnsi="仿宋_GB2312" w:cs="仿宋_GB2312" w:eastAsia="仿宋_GB2312"/>
                <w:sz w:val="20"/>
                <w:color w:val="0000FF"/>
              </w:rPr>
              <w:t>项目</w:t>
            </w:r>
            <w:r>
              <w:rPr>
                <w:rFonts w:ascii="仿宋_GB2312" w:hAnsi="仿宋_GB2312" w:cs="仿宋_GB2312" w:eastAsia="仿宋_GB2312"/>
                <w:sz w:val="20"/>
                <w:color w:val="0000FF"/>
              </w:rPr>
              <w:t>履行</w:t>
            </w:r>
            <w:r>
              <w:rPr>
                <w:rFonts w:ascii="仿宋_GB2312" w:hAnsi="仿宋_GB2312" w:cs="仿宋_GB2312" w:eastAsia="仿宋_GB2312"/>
                <w:sz w:val="20"/>
                <w:color w:val="0000FF"/>
              </w:rPr>
              <w:t>的</w:t>
            </w:r>
            <w:r>
              <w:rPr>
                <w:rFonts w:ascii="仿宋_GB2312" w:hAnsi="仿宋_GB2312" w:cs="仿宋_GB2312" w:eastAsia="仿宋_GB2312"/>
                <w:sz w:val="20"/>
                <w:color w:val="0000FF"/>
              </w:rPr>
              <w:t>目的，未经</w:t>
            </w:r>
            <w:r>
              <w:rPr>
                <w:rFonts w:ascii="仿宋_GB2312" w:hAnsi="仿宋_GB2312" w:cs="仿宋_GB2312" w:eastAsia="仿宋_GB2312"/>
                <w:sz w:val="20"/>
                <w:color w:val="0000FF"/>
              </w:rPr>
              <w:t>采购人</w:t>
            </w:r>
            <w:r>
              <w:rPr>
                <w:rFonts w:ascii="仿宋_GB2312" w:hAnsi="仿宋_GB2312" w:cs="仿宋_GB2312" w:eastAsia="仿宋_GB2312"/>
                <w:sz w:val="20"/>
                <w:color w:val="0000FF"/>
              </w:rPr>
              <w:t>许可，</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不得将其向任何第三方透露</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 xml:space="preserve">3.3 </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应采取一切措施</w:t>
            </w:r>
            <w:r>
              <w:rPr>
                <w:rFonts w:ascii="仿宋_GB2312" w:hAnsi="仿宋_GB2312" w:cs="仿宋_GB2312" w:eastAsia="仿宋_GB2312"/>
                <w:sz w:val="20"/>
                <w:color w:val="0000FF"/>
              </w:rPr>
              <w:t>，</w:t>
            </w:r>
            <w:r>
              <w:rPr>
                <w:rFonts w:ascii="仿宋_GB2312" w:hAnsi="仿宋_GB2312" w:cs="仿宋_GB2312" w:eastAsia="仿宋_GB2312"/>
                <w:sz w:val="20"/>
                <w:color w:val="0000FF"/>
              </w:rPr>
              <w:t>确保</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向第三方提供、泄露本</w:t>
            </w:r>
            <w:r>
              <w:rPr>
                <w:rFonts w:ascii="仿宋_GB2312" w:hAnsi="仿宋_GB2312" w:cs="仿宋_GB2312" w:eastAsia="仿宋_GB2312"/>
                <w:sz w:val="20"/>
                <w:color w:val="0000FF"/>
              </w:rPr>
              <w:t>项目</w:t>
            </w:r>
            <w:r>
              <w:rPr>
                <w:rFonts w:ascii="仿宋_GB2312" w:hAnsi="仿宋_GB2312" w:cs="仿宋_GB2312" w:eastAsia="仿宋_GB2312"/>
                <w:sz w:val="20"/>
                <w:color w:val="0000FF"/>
              </w:rPr>
              <w:t>规定的保密信息。若</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泄露了本合同规定的保密信息，</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应向</w:t>
            </w:r>
            <w:r>
              <w:rPr>
                <w:rFonts w:ascii="仿宋_GB2312" w:hAnsi="仿宋_GB2312" w:cs="仿宋_GB2312" w:eastAsia="仿宋_GB2312"/>
                <w:sz w:val="20"/>
                <w:color w:val="0000FF"/>
              </w:rPr>
              <w:t>采购人</w:t>
            </w:r>
            <w:r>
              <w:rPr>
                <w:rFonts w:ascii="仿宋_GB2312" w:hAnsi="仿宋_GB2312" w:cs="仿宋_GB2312" w:eastAsia="仿宋_GB2312"/>
                <w:sz w:val="20"/>
                <w:color w:val="0000FF"/>
              </w:rPr>
              <w:t>承担全部赔偿责任。前述赔偿责任将包括但不限于</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w:t>
            </w:r>
            <w:r>
              <w:rPr>
                <w:rFonts w:ascii="仿宋_GB2312" w:hAnsi="仿宋_GB2312" w:cs="仿宋_GB2312" w:eastAsia="仿宋_GB2312"/>
                <w:sz w:val="20"/>
                <w:color w:val="0000FF"/>
              </w:rPr>
              <w:t>泄露方所获得的全部收益</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2）采购人</w:t>
            </w:r>
            <w:r>
              <w:rPr>
                <w:rFonts w:ascii="仿宋_GB2312" w:hAnsi="仿宋_GB2312" w:cs="仿宋_GB2312" w:eastAsia="仿宋_GB2312"/>
                <w:sz w:val="20"/>
                <w:color w:val="0000FF"/>
              </w:rPr>
              <w:t>因此所致的利润损失或因此所减少的商业收益</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3）采购人</w:t>
            </w:r>
            <w:r>
              <w:rPr>
                <w:rFonts w:ascii="仿宋_GB2312" w:hAnsi="仿宋_GB2312" w:cs="仿宋_GB2312" w:eastAsia="仿宋_GB2312"/>
                <w:sz w:val="20"/>
                <w:color w:val="0000FF"/>
              </w:rPr>
              <w:t>因追究</w:t>
            </w:r>
            <w:r>
              <w:rPr>
                <w:rFonts w:ascii="仿宋_GB2312" w:hAnsi="仿宋_GB2312" w:cs="仿宋_GB2312" w:eastAsia="仿宋_GB2312"/>
                <w:sz w:val="20"/>
                <w:color w:val="0000FF"/>
              </w:rPr>
              <w:t>供应商</w:t>
            </w:r>
            <w:r>
              <w:rPr>
                <w:rFonts w:ascii="仿宋_GB2312" w:hAnsi="仿宋_GB2312" w:cs="仿宋_GB2312" w:eastAsia="仿宋_GB2312"/>
                <w:sz w:val="20"/>
                <w:color w:val="0000FF"/>
              </w:rPr>
              <w:t>违约责任所发生的全部法律费用、律师费用等</w:t>
            </w:r>
            <w:r>
              <w:rPr>
                <w:rFonts w:ascii="仿宋_GB2312" w:hAnsi="仿宋_GB2312" w:cs="仿宋_GB2312" w:eastAsia="仿宋_GB2312"/>
                <w:sz w:val="20"/>
                <w:color w:val="0000FF"/>
              </w:rPr>
              <w:t>；</w:t>
            </w:r>
          </w:p>
          <w:p>
            <w:pPr>
              <w:pStyle w:val="null3"/>
              <w:ind w:firstLine="367"/>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本</w:t>
            </w:r>
            <w:r>
              <w:rPr>
                <w:rFonts w:ascii="仿宋_GB2312" w:hAnsi="仿宋_GB2312" w:cs="仿宋_GB2312" w:eastAsia="仿宋_GB2312"/>
                <w:sz w:val="20"/>
                <w:color w:val="0000FF"/>
              </w:rPr>
              <w:t>项目</w:t>
            </w:r>
            <w:r>
              <w:rPr>
                <w:rFonts w:ascii="仿宋_GB2312" w:hAnsi="仿宋_GB2312" w:cs="仿宋_GB2312" w:eastAsia="仿宋_GB2312"/>
                <w:sz w:val="20"/>
                <w:color w:val="0000FF"/>
              </w:rPr>
              <w:t>不论因何原因终止之后，上述保密义务继续有效，直至本</w:t>
            </w:r>
            <w:r>
              <w:rPr>
                <w:rFonts w:ascii="仿宋_GB2312" w:hAnsi="仿宋_GB2312" w:cs="仿宋_GB2312" w:eastAsia="仿宋_GB2312"/>
                <w:sz w:val="20"/>
                <w:color w:val="0000FF"/>
              </w:rPr>
              <w:t>项目</w:t>
            </w:r>
            <w:r>
              <w:rPr>
                <w:rFonts w:ascii="仿宋_GB2312" w:hAnsi="仿宋_GB2312" w:cs="仿宋_GB2312" w:eastAsia="仿宋_GB2312"/>
                <w:sz w:val="20"/>
                <w:color w:val="0000FF"/>
              </w:rPr>
              <w:t>规定的全部保密信息已通过合法途径成为社会公众所知悉的信息后终止。</w:t>
            </w:r>
          </w:p>
          <w:p>
            <w:pPr>
              <w:pStyle w:val="null3"/>
              <w:ind w:firstLine="367"/>
              <w:jc w:val="left"/>
            </w:pPr>
            <w:r>
              <w:rPr>
                <w:rFonts w:ascii="仿宋_GB2312" w:hAnsi="仿宋_GB2312" w:cs="仿宋_GB2312" w:eastAsia="仿宋_GB2312"/>
                <w:sz w:val="20"/>
                <w:b/>
                <w:color w:val="0000FF"/>
              </w:rPr>
              <w:t>4、其他</w:t>
            </w:r>
          </w:p>
          <w:p>
            <w:pPr>
              <w:pStyle w:val="null3"/>
              <w:jc w:val="left"/>
            </w:pPr>
            <w:r>
              <w:rPr>
                <w:rFonts w:ascii="仿宋_GB2312" w:hAnsi="仿宋_GB2312" w:cs="仿宋_GB2312" w:eastAsia="仿宋_GB2312"/>
                <w:sz w:val="20"/>
                <w:color w:val="0000FF"/>
              </w:rPr>
              <w:t>4.1</w:t>
            </w:r>
            <w:r>
              <w:rPr>
                <w:rFonts w:ascii="仿宋_GB2312" w:hAnsi="仿宋_GB2312" w:cs="仿宋_GB2312" w:eastAsia="仿宋_GB2312"/>
                <w:sz w:val="20"/>
                <w:color w:val="0000FF"/>
              </w:rPr>
              <w:t>本项目采购预算为两年预算，每年</w:t>
            </w:r>
            <w:r>
              <w:rPr>
                <w:rFonts w:ascii="仿宋_GB2312" w:hAnsi="仿宋_GB2312" w:cs="仿宋_GB2312" w:eastAsia="仿宋_GB2312"/>
                <w:sz w:val="20"/>
                <w:b/>
                <w:color w:val="0000FF"/>
                <w:u w:val="single"/>
              </w:rPr>
              <w:t>67</w:t>
            </w:r>
            <w:r>
              <w:rPr>
                <w:rFonts w:ascii="仿宋_GB2312" w:hAnsi="仿宋_GB2312" w:cs="仿宋_GB2312" w:eastAsia="仿宋_GB2312"/>
                <w:sz w:val="20"/>
                <w:color w:val="0000FF"/>
              </w:rPr>
              <w:t>万</w:t>
            </w:r>
            <w:r>
              <w:rPr>
                <w:rFonts w:ascii="仿宋_GB2312" w:hAnsi="仿宋_GB2312" w:cs="仿宋_GB2312" w:eastAsia="仿宋_GB2312"/>
                <w:sz w:val="20"/>
                <w:color w:val="0000FF"/>
              </w:rPr>
              <w:t>元，两年共计</w:t>
            </w:r>
            <w:r>
              <w:rPr>
                <w:rFonts w:ascii="仿宋_GB2312" w:hAnsi="仿宋_GB2312" w:cs="仿宋_GB2312" w:eastAsia="仿宋_GB2312"/>
                <w:sz w:val="20"/>
                <w:b/>
                <w:color w:val="0000FF"/>
                <w:u w:val="single"/>
              </w:rPr>
              <w:t>134</w:t>
            </w:r>
            <w:r>
              <w:rPr>
                <w:rFonts w:ascii="仿宋_GB2312" w:hAnsi="仿宋_GB2312" w:cs="仿宋_GB2312" w:eastAsia="仿宋_GB2312"/>
                <w:sz w:val="20"/>
                <w:color w:val="0000FF"/>
              </w:rPr>
              <w:t>万元；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设置1名项目经理：具备丰富的经验，良好的沟通协调能力和团队合作精神，能够高效协同工作，确保项目有序运行； 项目团队建立完善：项目经理，技术负责人，资料员等岗位职责明确，人员充足，相关专业人员完善，按各自岗位职责有序开展审查服务工作，确保项目有序运行。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设备配置满足本项目需求，包括但不限于配备执行项目所需的、计算机、无人机、打印机、复印机、出行车辆，安全帽、安全鞋、手电筒等。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 (一年合同期满后，双方协商无异议，合同根据上一年度执行情况进行续签。若供应商的服务不满足要求，采购人可以拒绝续签)。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人要求执行，根据所服务的内容并按照所对应的法律法规、规范标准、技术规程等实施，在实施过程中，如果国家或有关部门颁布了新的技术标准或规范，则供应商应采用新的标准或规范进行实施。 执行标准根据（包括但不限于）以下质量标准进行： 1.《城市园林绿化养护标准》（CJJ/T287-2018）； 2.《城镇道路养护技术规范》（CJJ36-2016）； 3.《西安市市政工程设施管理条例》； 4.《西安市城市夜景照明管理办法》;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第一阶段合同第一季度结束后，支付合同总金额12.5%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第一阶段合同第二季度结束后，支付至合同总金额25%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第一阶段合同第三季度结束后，支付至合同总金额37.5%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第一阶段合同第四季度结束且项目验收合格后，付至合同总金额50%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第二阶段合同第一季度结束后，支付至合同总金额62.5%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第二阶段合同第二季度结束后，支付至合同总金额75%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第二阶段合同第三季度结束后，支付至合同总金额87.5%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第二阶段合同第四季度结束且项目验收合格后，付至合同总金额100%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一、供应商需要在线提交所有通过电子化交易平台实施的政府采购项目的响应文件 二、供应商的磋商报价是供应商响应磋商项目要求的全部工作内容的价格体现，合同金额即中标价，合同价格为含税价，提供服务所发生的一切费用（包括工资、奖金、补贴、加班费、办公费、差旅费、因公受伤医疗费，以及为服务人员提供或承担的住房、医疗、保险、交通等福利待遇、税金等所有相关服务费用）等都已包含于合同价款中。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签名是指手写签名或加盖签名章(含电子)，盖章是指加盖单位章，总公司授权分公司或分支机构参与磋商，可以使用总公司的资质或业绩。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成交供应商在领取成交通知书时提供纸质版投标文件两套，应通过专用制作软件直接打印，确保与电子投标文件保持一致，不允许修改和补充。提交地点：陕西省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注：本项目资格审查小组，由1名采购人代表和2名采购代理机构工作人员组成，采购代理机构项目经理担任资格审查小组组长，资格审查小组成立后，全体小组成员应当在签到表中签到。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（1）供应商是企业法人的，应提供2023或2024全年度经审计的供应商财务报告，包括 “四表一注”即《资产负债表》《利润表》《现金流量表》《所有者权益变动表》及其附注，或者提交响应文件截止时间前3个月内其基本账户开户银行出具的资信证明（附基本存款账户信息），供应商是小型企业的，应提供2023或2024全年度经审计的供应商财务报告，至少包括 《资产负债表》《利润表》《现金流量表》及其附注，或者提交响应文件截止时间前3个月内其基本账户开户银行出具的资信证明（附基本存款账户信息）；财政部关于印发《小企业会计准则》的通知（财会〔2011〕17号）； （2）供应商是事业单位法人的，应提供2023或2024全年度经审计的供应商财务报告，至少包括《资产负债表》《收入支出表或者收入费用表》《财政补助收入支出表》及其附注，或者提交响应文件截止时间前3个月内其基本账户开户银行出具的资信证明（附基本存款账户信息）； （3）部分其他组织和自然人，提供提交响应文件截止时间前3个月内银行出具的资信证明（附账户信息）； （4）供应商是民办非企业单位的，应提供2023或2024全年度经审计的供应商财务报告，包括《资产负债表》《业务活动表》《现金流量表》及其附注或者提交响应文件截止时间前3个月内银行出具的资信证明（附账户信息）； （5）供应商成立不到1年（至提交响应文件截止时间）的，提供成立后任意时段的资产负债表，或提交响应文件截止时间前3个月内其基本账户开户银行出具的资信证明（附基本存款账户信息）。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资格证明部分.docx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特定资格要求如下:</w:t>
            </w:r>
          </w:p>
        </w:tc>
        <w:tc>
          <w:tcPr>
            <w:tcW w:type="dxa" w:w="3322"/>
          </w:tcPr>
          <w:p>
            <w:pPr>
              <w:pStyle w:val="null3"/>
            </w:pPr>
            <w:r>
              <w:rPr>
                <w:rFonts w:ascii="仿宋_GB2312" w:hAnsi="仿宋_GB2312" w:cs="仿宋_GB2312" w:eastAsia="仿宋_GB2312"/>
              </w:rPr>
              <w:t>(1)供应商的营业执照等证明文件，自然人的身份证明； (2)法定代表人（单位负责人）参加磋商的，提供本人身份证复印件；法定代表人（单位负责人）授权他人参加磋商的，提供法定代表人（单位负责人）委托授权书并出示被授权代表的身份证复印件以及2025年1月至今任意时段在本单位注册的已缴纳的社会保障资金缴存单据或社保机构开具的社会保险参保缴费情况证明； (3)提供2023年度或2024年度经审计的财务会计报告或其提交响应文件截止时间前3个月内银行出具的资信证明。 (4)提供供应商2025年1月至今已缴纳任意时段任意税种完税凭证或税务机关开具的完税证明（个人所得税除外）；依法免税的应提供相关文件证明； (5)提供供应商2025年1月至今任意时段已缴纳的社会保障资金缴存单据或社保机构开具的社会保险参保缴费情况证明；依法不需要缴纳社会保障资金的应提供相关文件证明； (6)具备履行合同所必需的设备和专业技术能力的证明； (7)参加本次磋商前3年内，在经营活动中没有重大违法记录的书面声明； (8)不得为“信用中国”网站(http://www.creditchina.gov.cn)列入“失信被执行人、重大税收违法失信主体”的供应商；不得为中国政府采购网(http://www.ccgp.gov.cn)“政府采购严重违法失信行为记录名单”中的供应商； (9)单位负责人为同一人或者存在直接控股、管理关系的不同供应商，不得参加同一合同项下的采购活动 (10)本项目不接受联合体磋商。</w:t>
            </w:r>
          </w:p>
        </w:tc>
        <w:tc>
          <w:tcPr>
            <w:tcW w:type="dxa" w:w="1661"/>
          </w:tcPr>
          <w:p>
            <w:pPr>
              <w:pStyle w:val="null3"/>
            </w:pPr>
            <w:r>
              <w:rPr>
                <w:rFonts w:ascii="仿宋_GB2312" w:hAnsi="仿宋_GB2312" w:cs="仿宋_GB2312" w:eastAsia="仿宋_GB2312"/>
              </w:rPr>
              <w:t>响应文件封面 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资格证明部分.docx 标的清单 报价表 响应函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资格证明部分.docx 响应函 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业绩（5分）： 具有2021年1月1日至今的类似业绩(以合同签订日期为准)，业绩以合同复印件为依据。每个业绩计2.5分，2个以上(含2个)计5分。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辅助管理方案</w:t>
            </w:r>
          </w:p>
        </w:tc>
        <w:tc>
          <w:tcPr>
            <w:tcW w:type="dxa" w:w="2492"/>
          </w:tcPr>
          <w:p>
            <w:pPr>
              <w:pStyle w:val="null3"/>
            </w:pPr>
            <w:r>
              <w:rPr>
                <w:rFonts w:ascii="仿宋_GB2312" w:hAnsi="仿宋_GB2312" w:cs="仿宋_GB2312" w:eastAsia="仿宋_GB2312"/>
              </w:rPr>
              <w:t>辅助管理方案（27分）： 一评审内容、 供应商针对本项目提供的项目实施方案，包括但不限于： ①审查养护单位组织设计方案； ②协助制定园区年度/月度养护计划并提供专业技术建议； ③组织养护单位进行专业技术培训，每年不少于8次现场实操指导； ④建立应急响应机制，极端天气后及时督促养护单位完成现场问题处理； ⑤养护项目月度考核制度，形成现场问题专项通报，组织养护考核会议； ⑥审查养护计划与方案： 年度、季度、月度养护计划，专项方案（如抗旱、防寒、病虫害防治、大树养护、水体养护等）的针对性、可行性、技术合理性； ⑦召开养护管理交底会：明确管理程序、工作方法、报验要求、沟通机制； ⑧工序检查： 对浇水、除草、施肥、修剪、病虫害防治、保洁等日常工序进行过程检查，全面落实相关工作； ⑨审核养护记录：检查养护单位的日常记录、病虫害防治台账，建立病虫害预警机制定期上报现场病虫害发生情况； 二、评审标准 1、完善性：方案必须全面，对评审内容中的各项要求有详细阐述； 2、可实施性：切合本项目实际情况，提出步骤清晰、合理的方案； 3、针对性：方案能够紧扣项目实际情况，内容合理。 三、赋分依据（满分27分） 根据评审内容中①至⑨项：每完全满足一个评审标准得1分，单项满分3分，未提供得0分。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巡查督导方案</w:t>
            </w:r>
          </w:p>
        </w:tc>
        <w:tc>
          <w:tcPr>
            <w:tcW w:type="dxa" w:w="2492"/>
          </w:tcPr>
          <w:p>
            <w:pPr>
              <w:pStyle w:val="null3"/>
            </w:pPr>
            <w:r>
              <w:rPr>
                <w:rFonts w:ascii="仿宋_GB2312" w:hAnsi="仿宋_GB2312" w:cs="仿宋_GB2312" w:eastAsia="仿宋_GB2312"/>
              </w:rPr>
              <w:t>巡查督导方案（满分5分）： 1 巡查督导方案合理，描述清晰，且能针对性满足项目需求的得5分； 2 巡查督导方案合理，但陈述简单，缺乏针对性的得4分； 3巡查督导方案笼统，但基本满足采购需求的得3分；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数据采集方案</w:t>
            </w:r>
          </w:p>
        </w:tc>
        <w:tc>
          <w:tcPr>
            <w:tcW w:type="dxa" w:w="2492"/>
          </w:tcPr>
          <w:p>
            <w:pPr>
              <w:pStyle w:val="null3"/>
            </w:pPr>
            <w:r>
              <w:rPr>
                <w:rFonts w:ascii="仿宋_GB2312" w:hAnsi="仿宋_GB2312" w:cs="仿宋_GB2312" w:eastAsia="仿宋_GB2312"/>
              </w:rPr>
              <w:t>数据采集方案（满分5分）： 1 数据采集方案合理，描述清晰，且能针对性满足项目需求的得5分； 2 数据采集方案合理，但陈述简单，缺乏针对性的得4分； 3数据采集方案笼统，但基本满足采购需求的得3分；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质量评估方案</w:t>
            </w:r>
          </w:p>
        </w:tc>
        <w:tc>
          <w:tcPr>
            <w:tcW w:type="dxa" w:w="2492"/>
          </w:tcPr>
          <w:p>
            <w:pPr>
              <w:pStyle w:val="null3"/>
            </w:pPr>
            <w:r>
              <w:rPr>
                <w:rFonts w:ascii="仿宋_GB2312" w:hAnsi="仿宋_GB2312" w:cs="仿宋_GB2312" w:eastAsia="仿宋_GB2312"/>
              </w:rPr>
              <w:t>质量评估方案（满分5分）： 1 质量评估方案合理，描述清晰，且能针对性满足项目需求的得5分； 2 质量评估方案合理，但陈述简单，缺乏针对性的得4分； 3质量评估方案笼统，但基本满足采购需求的得3分； 4 虽进行了陈述，但陈述内容缺失严重，或未结合项目情况进行论述，偏差明显的得1分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档案管理方案（18分）： 一评审内容、 供应商针对本项目提供的档案管理方案，包括但不限于： ①按《园林绿化养护管理规范》分类建立电子化养护档案库，实现电子化率100%； ②苗木资产数据库（数量、种类） ③养护作业日志（浇水、施肥、施肥等操作记录） ④历史问题处置案例库 ⑤历史养护保存归档，当前年度资料实时更新。 ⑥督促养护单位提交《养护问题整改闭环报告》。 三、评审标准 1、完善性：方案必须全面，对评审内容中的各项要求有详细阐述； 2、可实施性：切合本项目实际情况，提出步骤清晰、合理的方案； 3、针对性：方案能够紧扣项目实际情况，内容合理。 三、赋分依据（满分18分） 根据评审内容中①至⑥项：每完全满足一个评审标准得1分，单项满分3分，未提供得0分。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设备、工具配备方案</w:t>
            </w:r>
          </w:p>
        </w:tc>
        <w:tc>
          <w:tcPr>
            <w:tcW w:type="dxa" w:w="2492"/>
          </w:tcPr>
          <w:p>
            <w:pPr>
              <w:pStyle w:val="null3"/>
            </w:pPr>
            <w:r>
              <w:rPr>
                <w:rFonts w:ascii="仿宋_GB2312" w:hAnsi="仿宋_GB2312" w:cs="仿宋_GB2312" w:eastAsia="仿宋_GB2312"/>
              </w:rPr>
              <w:t>设备、工具配备方案（满分5分） ： 1 方案合理，描述清晰，且能针对性满足项目需求的得5分； 2 方案合理，但陈述简单，缺乏针对性的得4分； 3 方案笼统，但基本满足采购需求的得3分；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人员分配方案</w:t>
            </w:r>
          </w:p>
        </w:tc>
        <w:tc>
          <w:tcPr>
            <w:tcW w:type="dxa" w:w="2492"/>
          </w:tcPr>
          <w:p>
            <w:pPr>
              <w:pStyle w:val="null3"/>
            </w:pPr>
            <w:r>
              <w:rPr>
                <w:rFonts w:ascii="仿宋_GB2312" w:hAnsi="仿宋_GB2312" w:cs="仿宋_GB2312" w:eastAsia="仿宋_GB2312"/>
              </w:rPr>
              <w:t>人员分配方案（满分10分） ： 1 人员安排合理，描述清晰，且能针对性满足项目需求的得10分； 2 方案合理，但陈述简单，缺乏针对性的得7分； 3 方案笼统，但基本满足采购需求的得4分； 4 方案缺失严重，或未结合项目情况进行论述得1分； 5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针对本项目有详细的服务承诺：（满分5分）： 建立完善的技术支持体系，在合同履行过程中为采购人提供的服务质量及对后期的技术指导等方面作出书面承诺： 1 服务承诺合理，描述清晰，且能针对性满足项目需求的得5分； 2 服务承诺合理，但陈述简单，缺乏针对性的得4分； 3 方案笼统，但基本满足采购需求的得3分； 4 服务承诺笼统的得1分；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保密措施（满分5分）： 针对本项目制定保密措施 1 保密措施合理，描述清晰，且能针对性满足项目需求的得5分； 2 保密措施合理，但陈述简单，缺乏针对性的得4分； 3 方案笼统，但基本满足采购需求的得3分； 4 保密措施笼统的得1分； 5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