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1BB54B">
      <w:pPr>
        <w:numPr>
          <w:ilvl w:val="0"/>
          <w:numId w:val="0"/>
        </w:numPr>
        <w:spacing w:line="360" w:lineRule="auto"/>
        <w:jc w:val="center"/>
        <w:rPr>
          <w:rFonts w:hint="eastAsia" w:ascii="宋体" w:hAnsi="宋体" w:eastAsia="宋体" w:cs="宋体"/>
          <w:b/>
          <w:bCs/>
          <w:szCs w:val="24"/>
          <w:highlight w:val="none"/>
        </w:rPr>
      </w:pPr>
      <w:r>
        <w:rPr>
          <w:rFonts w:hint="eastAsia" w:ascii="宋体" w:hAnsi="宋体" w:eastAsia="宋体" w:cs="宋体"/>
          <w:b/>
          <w:bCs/>
          <w:sz w:val="28"/>
          <w:szCs w:val="36"/>
          <w:highlight w:val="none"/>
        </w:rPr>
        <w:t>报价一览表</w:t>
      </w:r>
    </w:p>
    <w:p w14:paraId="7B30E7E5">
      <w:pPr>
        <w:shd w:val="clear" w:color="auto" w:fill="auto"/>
        <w:spacing w:line="360" w:lineRule="auto"/>
        <w:jc w:val="left"/>
        <w:rPr>
          <w:rFonts w:hint="eastAsia" w:ascii="宋体" w:hAnsi="宋体" w:eastAsia="宋体" w:cs="宋体"/>
          <w:bCs/>
          <w:color w:val="auto"/>
          <w:szCs w:val="24"/>
          <w:highlight w:val="none"/>
        </w:rPr>
      </w:pPr>
      <w:r>
        <w:rPr>
          <w:rFonts w:hint="eastAsia" w:ascii="宋体" w:hAnsi="宋体" w:eastAsia="宋体" w:cs="宋体"/>
          <w:bCs/>
          <w:color w:val="auto"/>
          <w:szCs w:val="24"/>
          <w:highlight w:val="none"/>
        </w:rPr>
        <w:t>项目编号：</w:t>
      </w:r>
      <w:r>
        <w:rPr>
          <w:rFonts w:hint="eastAsia" w:ascii="宋体" w:hAnsi="宋体" w:eastAsia="宋体" w:cs="宋体"/>
          <w:kern w:val="2"/>
          <w:highlight w:val="none"/>
          <w:lang w:eastAsia="zh-CN"/>
        </w:rPr>
        <w:t>CGZC-2025-120</w:t>
      </w:r>
    </w:p>
    <w:p w14:paraId="3BD86877">
      <w:pPr>
        <w:shd w:val="clear" w:color="auto" w:fill="auto"/>
        <w:spacing w:line="360" w:lineRule="auto"/>
        <w:jc w:val="left"/>
        <w:rPr>
          <w:rFonts w:hint="eastAsia" w:ascii="宋体" w:hAnsi="宋体" w:eastAsia="宋体" w:cs="宋体"/>
          <w:bCs/>
          <w:color w:val="auto"/>
          <w:szCs w:val="24"/>
          <w:highlight w:val="none"/>
        </w:rPr>
      </w:pPr>
      <w:r>
        <w:rPr>
          <w:rFonts w:hint="eastAsia" w:ascii="宋体" w:hAnsi="宋体" w:eastAsia="宋体" w:cs="宋体"/>
          <w:bCs/>
          <w:color w:val="auto"/>
          <w:szCs w:val="24"/>
          <w:highlight w:val="none"/>
        </w:rPr>
        <w:t>项目名称：</w:t>
      </w:r>
      <w:r>
        <w:rPr>
          <w:rFonts w:hint="eastAsia" w:ascii="宋体" w:hAnsi="宋体" w:eastAsia="宋体" w:cs="宋体"/>
          <w:bCs/>
          <w:color w:val="auto"/>
          <w:szCs w:val="24"/>
          <w:highlight w:val="none"/>
          <w:lang w:eastAsia="zh-CN"/>
        </w:rPr>
        <w:t>中欧班列西安集结中心国际港智能化铁路站及保税集结能力提升项目铲青及垃圾清运工程</w:t>
      </w:r>
      <w:r>
        <w:rPr>
          <w:rFonts w:hint="eastAsia" w:ascii="宋体" w:hAnsi="宋体" w:eastAsia="宋体" w:cs="宋体"/>
          <w:bCs/>
          <w:color w:val="auto"/>
          <w:szCs w:val="24"/>
          <w:highlight w:val="none"/>
        </w:rPr>
        <w:t xml:space="preserve">       </w:t>
      </w:r>
    </w:p>
    <w:tbl>
      <w:tblPr>
        <w:tblStyle w:val="5"/>
        <w:tblW w:w="93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3"/>
        <w:gridCol w:w="1302"/>
        <w:gridCol w:w="1034"/>
        <w:gridCol w:w="1034"/>
        <w:gridCol w:w="1034"/>
        <w:gridCol w:w="1281"/>
        <w:gridCol w:w="1281"/>
        <w:gridCol w:w="1084"/>
      </w:tblGrid>
      <w:tr w14:paraId="50919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8" w:hRule="atLeast"/>
          <w:jc w:val="center"/>
        </w:trPr>
        <w:tc>
          <w:tcPr>
            <w:tcW w:w="1283" w:type="dxa"/>
            <w:noWrap w:val="0"/>
            <w:vAlign w:val="center"/>
          </w:tcPr>
          <w:p w14:paraId="2B1297A8">
            <w:pPr>
              <w:shd w:val="clear" w:color="auto" w:fill="auto"/>
              <w:jc w:val="center"/>
              <w:rPr>
                <w:rFonts w:hint="eastAsia" w:ascii="宋体" w:hAnsi="宋体" w:eastAsia="宋体" w:cs="宋体"/>
                <w:color w:val="auto"/>
                <w:kern w:val="2"/>
                <w:sz w:val="21"/>
                <w:szCs w:val="21"/>
                <w:highlight w:val="none"/>
              </w:rPr>
            </w:pPr>
            <w:r>
              <w:rPr>
                <w:rFonts w:hint="eastAsia" w:ascii="宋体" w:hAnsi="宋体" w:eastAsia="宋体" w:cs="宋体"/>
                <w:color w:val="auto"/>
                <w:sz w:val="21"/>
                <w:szCs w:val="21"/>
                <w:highlight w:val="none"/>
                <w:lang w:val="en-US" w:eastAsia="zh-CN"/>
              </w:rPr>
              <w:t>工作</w:t>
            </w:r>
            <w:r>
              <w:rPr>
                <w:rFonts w:hint="eastAsia" w:ascii="宋体" w:hAnsi="宋体" w:eastAsia="宋体" w:cs="宋体"/>
                <w:color w:val="auto"/>
                <w:sz w:val="21"/>
                <w:szCs w:val="21"/>
                <w:highlight w:val="none"/>
              </w:rPr>
              <w:t>内容</w:t>
            </w:r>
          </w:p>
        </w:tc>
        <w:tc>
          <w:tcPr>
            <w:tcW w:w="1302" w:type="dxa"/>
            <w:noWrap w:val="0"/>
            <w:vAlign w:val="center"/>
          </w:tcPr>
          <w:p w14:paraId="7FA405B6">
            <w:pPr>
              <w:shd w:val="clear" w:color="auto" w:fill="auto"/>
              <w:jc w:val="center"/>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lang w:eastAsia="zh-CN"/>
              </w:rPr>
              <w:t>含税综合单价</w:t>
            </w:r>
          </w:p>
        </w:tc>
        <w:tc>
          <w:tcPr>
            <w:tcW w:w="1034" w:type="dxa"/>
            <w:noWrap w:val="0"/>
            <w:vAlign w:val="center"/>
          </w:tcPr>
          <w:p w14:paraId="024334FC">
            <w:pPr>
              <w:shd w:val="clear" w:color="auto" w:fill="auto"/>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暂定</w:t>
            </w:r>
            <w:r>
              <w:rPr>
                <w:rFonts w:hint="eastAsia" w:ascii="宋体" w:hAnsi="宋体" w:eastAsia="宋体" w:cs="宋体"/>
                <w:color w:val="auto"/>
                <w:kern w:val="2"/>
                <w:sz w:val="21"/>
                <w:szCs w:val="21"/>
                <w:highlight w:val="none"/>
              </w:rPr>
              <w:t>工程量</w:t>
            </w:r>
          </w:p>
        </w:tc>
        <w:tc>
          <w:tcPr>
            <w:tcW w:w="1034" w:type="dxa"/>
            <w:noWrap w:val="0"/>
            <w:vAlign w:val="center"/>
          </w:tcPr>
          <w:p w14:paraId="7835A6C9">
            <w:pPr>
              <w:shd w:val="clear" w:color="auto" w:fill="auto"/>
              <w:jc w:val="center"/>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lang w:eastAsia="zh-CN"/>
              </w:rPr>
              <w:t>合计（元）</w:t>
            </w:r>
          </w:p>
        </w:tc>
        <w:tc>
          <w:tcPr>
            <w:tcW w:w="1034" w:type="dxa"/>
            <w:noWrap w:val="0"/>
            <w:vAlign w:val="center"/>
          </w:tcPr>
          <w:p w14:paraId="55638505">
            <w:pPr>
              <w:shd w:val="clear" w:color="auto" w:fill="auto"/>
              <w:jc w:val="center"/>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lang w:eastAsia="zh-CN"/>
              </w:rPr>
              <w:t>工期</w:t>
            </w:r>
          </w:p>
        </w:tc>
        <w:tc>
          <w:tcPr>
            <w:tcW w:w="1281" w:type="dxa"/>
            <w:noWrap w:val="0"/>
            <w:vAlign w:val="center"/>
          </w:tcPr>
          <w:p w14:paraId="20907206">
            <w:pPr>
              <w:shd w:val="clear" w:color="auto" w:fill="auto"/>
              <w:jc w:val="center"/>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lang w:eastAsia="zh-CN"/>
              </w:rPr>
              <w:t>质量保修期</w:t>
            </w:r>
          </w:p>
        </w:tc>
        <w:tc>
          <w:tcPr>
            <w:tcW w:w="1281" w:type="dxa"/>
            <w:noWrap w:val="0"/>
            <w:vAlign w:val="center"/>
          </w:tcPr>
          <w:p w14:paraId="0BE33D2E">
            <w:pPr>
              <w:shd w:val="clear" w:color="auto" w:fill="auto"/>
              <w:jc w:val="center"/>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lang w:eastAsia="zh-CN"/>
              </w:rPr>
              <w:t>质量</w:t>
            </w:r>
          </w:p>
          <w:p w14:paraId="71A45283">
            <w:pPr>
              <w:shd w:val="clear" w:color="auto" w:fill="auto"/>
              <w:jc w:val="center"/>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lang w:eastAsia="zh-CN"/>
              </w:rPr>
              <w:t>标准</w:t>
            </w:r>
          </w:p>
        </w:tc>
        <w:tc>
          <w:tcPr>
            <w:tcW w:w="1084" w:type="dxa"/>
            <w:noWrap w:val="0"/>
            <w:vAlign w:val="center"/>
          </w:tcPr>
          <w:p w14:paraId="0A49C1AC">
            <w:pPr>
              <w:shd w:val="clear" w:color="auto" w:fill="auto"/>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备注</w:t>
            </w:r>
          </w:p>
        </w:tc>
      </w:tr>
      <w:tr w14:paraId="236E9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1283" w:type="dxa"/>
            <w:noWrap w:val="0"/>
            <w:vAlign w:val="center"/>
          </w:tcPr>
          <w:p w14:paraId="0FDA8B10">
            <w:pPr>
              <w:pageBreakBefore w:val="0"/>
              <w:widowControl w:val="0"/>
              <w:shd w:val="clear" w:color="auto" w:fill="auto"/>
              <w:kinsoku/>
              <w:wordWrap/>
              <w:overflowPunct/>
              <w:topLinePunct w:val="0"/>
              <w:autoSpaceDE/>
              <w:autoSpaceDN/>
              <w:bidi w:val="0"/>
              <w:spacing w:line="360" w:lineRule="auto"/>
              <w:jc w:val="center"/>
              <w:textAlignment w:val="auto"/>
              <w:rPr>
                <w:rFonts w:hint="eastAsia" w:ascii="宋体" w:hAnsi="宋体" w:eastAsia="宋体" w:cs="宋体"/>
                <w:color w:val="auto"/>
                <w:kern w:val="2"/>
                <w:sz w:val="21"/>
                <w:szCs w:val="21"/>
                <w:highlight w:val="none"/>
                <w:lang w:val="en-US" w:eastAsia="zh-CN"/>
              </w:rPr>
            </w:pPr>
            <w:r>
              <w:rPr>
                <w:rFonts w:hint="eastAsia" w:ascii="宋体" w:hAnsi="宋体" w:eastAsia="宋体" w:cs="宋体"/>
                <w:color w:val="auto"/>
                <w:kern w:val="2"/>
                <w:sz w:val="21"/>
                <w:szCs w:val="21"/>
                <w:highlight w:val="none"/>
                <w:lang w:val="en-US" w:eastAsia="zh-CN"/>
              </w:rPr>
              <w:t>铲青工程</w:t>
            </w:r>
          </w:p>
        </w:tc>
        <w:tc>
          <w:tcPr>
            <w:tcW w:w="1302" w:type="dxa"/>
            <w:noWrap w:val="0"/>
            <w:vAlign w:val="center"/>
          </w:tcPr>
          <w:p w14:paraId="727930C2">
            <w:pPr>
              <w:pageBreakBefore w:val="0"/>
              <w:widowControl w:val="0"/>
              <w:shd w:val="clear" w:color="auto" w:fill="auto"/>
              <w:kinsoku/>
              <w:wordWrap/>
              <w:overflowPunct/>
              <w:topLinePunct w:val="0"/>
              <w:autoSpaceDE/>
              <w:autoSpaceDN/>
              <w:bidi w:val="0"/>
              <w:spacing w:line="360" w:lineRule="auto"/>
              <w:jc w:val="center"/>
              <w:textAlignment w:val="auto"/>
              <w:rPr>
                <w:rFonts w:hint="eastAsia" w:ascii="宋体" w:hAnsi="宋体" w:eastAsia="宋体" w:cs="宋体"/>
                <w:color w:val="auto"/>
                <w:kern w:val="2"/>
                <w:sz w:val="21"/>
                <w:szCs w:val="21"/>
                <w:highlight w:val="none"/>
                <w:u w:val="none"/>
                <w:lang w:val="en-US" w:eastAsia="zh-CN"/>
              </w:rPr>
            </w:pP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none"/>
                <w:lang w:val="en-US" w:eastAsia="zh-CN"/>
              </w:rPr>
              <w:t>元/</w:t>
            </w:r>
            <w:r>
              <w:rPr>
                <w:rFonts w:hint="eastAsia" w:ascii="宋体" w:hAnsi="宋体" w:eastAsia="宋体" w:cs="宋体"/>
                <w:color w:val="auto"/>
                <w:sz w:val="21"/>
                <w:szCs w:val="21"/>
                <w:highlight w:val="none"/>
                <w:lang w:val="en-US" w:eastAsia="zh-CN"/>
              </w:rPr>
              <w:t>亩</w:t>
            </w:r>
          </w:p>
        </w:tc>
        <w:tc>
          <w:tcPr>
            <w:tcW w:w="1034" w:type="dxa"/>
            <w:noWrap w:val="0"/>
            <w:vAlign w:val="center"/>
          </w:tcPr>
          <w:p w14:paraId="6D412AA4">
            <w:pPr>
              <w:pageBreakBefore w:val="0"/>
              <w:widowControl w:val="0"/>
              <w:shd w:val="clear" w:color="auto" w:fill="auto"/>
              <w:kinsoku/>
              <w:wordWrap/>
              <w:overflowPunct/>
              <w:topLinePunct w:val="0"/>
              <w:autoSpaceDE/>
              <w:autoSpaceDN/>
              <w:bidi w:val="0"/>
              <w:spacing w:line="360" w:lineRule="auto"/>
              <w:jc w:val="center"/>
              <w:textAlignment w:val="auto"/>
              <w:rPr>
                <w:rFonts w:hint="default"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144.167亩</w:t>
            </w:r>
          </w:p>
        </w:tc>
        <w:tc>
          <w:tcPr>
            <w:tcW w:w="1034" w:type="dxa"/>
            <w:noWrap w:val="0"/>
            <w:vAlign w:val="center"/>
          </w:tcPr>
          <w:p w14:paraId="5DE5003B">
            <w:pPr>
              <w:pageBreakBefore w:val="0"/>
              <w:widowControl w:val="0"/>
              <w:shd w:val="clear" w:color="auto" w:fill="auto"/>
              <w:kinsoku/>
              <w:wordWrap/>
              <w:overflowPunct/>
              <w:topLinePunct w:val="0"/>
              <w:autoSpaceDE/>
              <w:autoSpaceDN/>
              <w:bidi w:val="0"/>
              <w:spacing w:line="360" w:lineRule="auto"/>
              <w:jc w:val="center"/>
              <w:textAlignment w:val="auto"/>
              <w:rPr>
                <w:rFonts w:hint="eastAsia" w:ascii="宋体" w:hAnsi="宋体" w:eastAsia="宋体" w:cs="宋体"/>
                <w:color w:val="auto"/>
                <w:kern w:val="2"/>
                <w:sz w:val="21"/>
                <w:szCs w:val="21"/>
                <w:highlight w:val="none"/>
                <w:lang w:val="en-US" w:eastAsia="zh-CN" w:bidi="ar-SA"/>
              </w:rPr>
            </w:pPr>
          </w:p>
        </w:tc>
        <w:tc>
          <w:tcPr>
            <w:tcW w:w="1034" w:type="dxa"/>
            <w:vMerge w:val="restart"/>
            <w:noWrap w:val="0"/>
            <w:vAlign w:val="center"/>
          </w:tcPr>
          <w:p w14:paraId="57F30CF1">
            <w:pPr>
              <w:shd w:val="clear" w:color="auto" w:fill="auto"/>
              <w:jc w:val="center"/>
              <w:rPr>
                <w:rFonts w:hint="eastAsia" w:ascii="宋体" w:hAnsi="宋体" w:eastAsia="宋体" w:cs="宋体"/>
                <w:color w:val="auto"/>
                <w:kern w:val="2"/>
                <w:sz w:val="21"/>
                <w:szCs w:val="21"/>
                <w:highlight w:val="none"/>
              </w:rPr>
            </w:pPr>
          </w:p>
        </w:tc>
        <w:tc>
          <w:tcPr>
            <w:tcW w:w="1281" w:type="dxa"/>
            <w:vMerge w:val="restart"/>
            <w:noWrap w:val="0"/>
            <w:vAlign w:val="center"/>
          </w:tcPr>
          <w:p w14:paraId="1AC74D64">
            <w:pPr>
              <w:shd w:val="clear" w:color="auto" w:fill="auto"/>
              <w:jc w:val="center"/>
              <w:rPr>
                <w:rFonts w:hint="eastAsia" w:ascii="宋体" w:hAnsi="宋体" w:eastAsia="宋体" w:cs="宋体"/>
                <w:color w:val="auto"/>
                <w:kern w:val="2"/>
                <w:sz w:val="21"/>
                <w:szCs w:val="21"/>
                <w:highlight w:val="none"/>
              </w:rPr>
            </w:pPr>
          </w:p>
        </w:tc>
        <w:tc>
          <w:tcPr>
            <w:tcW w:w="1281" w:type="dxa"/>
            <w:vMerge w:val="restart"/>
            <w:noWrap w:val="0"/>
            <w:vAlign w:val="center"/>
          </w:tcPr>
          <w:p w14:paraId="32441FD6">
            <w:pPr>
              <w:shd w:val="clear" w:color="auto" w:fill="auto"/>
              <w:jc w:val="center"/>
              <w:rPr>
                <w:rFonts w:hint="eastAsia" w:ascii="宋体" w:hAnsi="宋体" w:eastAsia="宋体" w:cs="宋体"/>
                <w:color w:val="auto"/>
                <w:kern w:val="2"/>
                <w:sz w:val="21"/>
                <w:szCs w:val="21"/>
                <w:highlight w:val="none"/>
              </w:rPr>
            </w:pPr>
          </w:p>
        </w:tc>
        <w:tc>
          <w:tcPr>
            <w:tcW w:w="1084" w:type="dxa"/>
            <w:vMerge w:val="restart"/>
            <w:noWrap w:val="0"/>
            <w:vAlign w:val="center"/>
          </w:tcPr>
          <w:p w14:paraId="0AD37EF8">
            <w:pPr>
              <w:shd w:val="clear" w:color="auto" w:fill="auto"/>
              <w:jc w:val="center"/>
              <w:rPr>
                <w:rFonts w:hint="eastAsia" w:ascii="宋体" w:hAnsi="宋体" w:eastAsia="宋体" w:cs="宋体"/>
                <w:color w:val="auto"/>
                <w:kern w:val="2"/>
                <w:sz w:val="21"/>
                <w:szCs w:val="21"/>
                <w:highlight w:val="none"/>
              </w:rPr>
            </w:pPr>
          </w:p>
        </w:tc>
      </w:tr>
      <w:tr w14:paraId="70F91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1283" w:type="dxa"/>
            <w:noWrap w:val="0"/>
            <w:vAlign w:val="center"/>
          </w:tcPr>
          <w:p w14:paraId="26DF755A">
            <w:pPr>
              <w:pageBreakBefore w:val="0"/>
              <w:widowControl w:val="0"/>
              <w:shd w:val="clear" w:color="auto" w:fill="auto"/>
              <w:kinsoku/>
              <w:wordWrap/>
              <w:overflowPunct/>
              <w:topLinePunct w:val="0"/>
              <w:autoSpaceDE/>
              <w:autoSpaceDN/>
              <w:bidi w:val="0"/>
              <w:spacing w:line="360" w:lineRule="auto"/>
              <w:jc w:val="center"/>
              <w:textAlignment w:val="auto"/>
              <w:rPr>
                <w:rFonts w:hint="eastAsia" w:ascii="宋体" w:hAnsi="宋体" w:eastAsia="宋体" w:cs="宋体"/>
                <w:color w:val="auto"/>
                <w:kern w:val="2"/>
                <w:sz w:val="21"/>
                <w:szCs w:val="21"/>
                <w:highlight w:val="none"/>
                <w:lang w:val="en-US" w:eastAsia="zh-CN"/>
              </w:rPr>
            </w:pPr>
            <w:r>
              <w:rPr>
                <w:rFonts w:hint="eastAsia" w:ascii="宋体" w:hAnsi="宋体" w:eastAsia="宋体" w:cs="宋体"/>
                <w:color w:val="auto"/>
                <w:kern w:val="2"/>
                <w:sz w:val="21"/>
                <w:szCs w:val="21"/>
                <w:highlight w:val="none"/>
                <w:lang w:val="en-US" w:eastAsia="zh-CN"/>
              </w:rPr>
              <w:t>垃圾清运</w:t>
            </w:r>
          </w:p>
        </w:tc>
        <w:tc>
          <w:tcPr>
            <w:tcW w:w="1302" w:type="dxa"/>
            <w:noWrap w:val="0"/>
            <w:vAlign w:val="center"/>
          </w:tcPr>
          <w:p w14:paraId="48778428">
            <w:pPr>
              <w:pageBreakBefore w:val="0"/>
              <w:widowControl w:val="0"/>
              <w:shd w:val="clear" w:color="auto" w:fill="auto"/>
              <w:kinsoku/>
              <w:wordWrap/>
              <w:overflowPunct/>
              <w:topLinePunct w:val="0"/>
              <w:autoSpaceDE/>
              <w:autoSpaceDN/>
              <w:bidi w:val="0"/>
              <w:spacing w:line="360" w:lineRule="auto"/>
              <w:jc w:val="center"/>
              <w:textAlignment w:val="auto"/>
              <w:rPr>
                <w:rFonts w:hint="eastAsia" w:ascii="宋体" w:hAnsi="宋体" w:eastAsia="宋体" w:cs="宋体"/>
                <w:color w:val="auto"/>
                <w:kern w:val="2"/>
                <w:sz w:val="21"/>
                <w:szCs w:val="21"/>
                <w:highlight w:val="none"/>
                <w:lang w:val="en-US" w:eastAsia="zh-CN"/>
              </w:rPr>
            </w:pP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none"/>
                <w:lang w:val="en-US" w:eastAsia="zh-CN"/>
              </w:rPr>
              <w:t>元/</w:t>
            </w:r>
            <w:r>
              <w:rPr>
                <w:rFonts w:hint="eastAsia" w:ascii="宋体" w:hAnsi="宋体" w:eastAsia="宋体" w:cs="宋体"/>
                <w:color w:val="auto"/>
                <w:sz w:val="21"/>
                <w:szCs w:val="21"/>
                <w:highlight w:val="none"/>
                <w:lang w:val="en-US" w:eastAsia="zh-CN"/>
              </w:rPr>
              <w:t>m³</w:t>
            </w:r>
          </w:p>
        </w:tc>
        <w:tc>
          <w:tcPr>
            <w:tcW w:w="1034" w:type="dxa"/>
            <w:noWrap w:val="0"/>
            <w:vAlign w:val="center"/>
          </w:tcPr>
          <w:p w14:paraId="3A792274">
            <w:pPr>
              <w:pageBreakBefore w:val="0"/>
              <w:widowControl w:val="0"/>
              <w:shd w:val="clear" w:color="auto" w:fill="auto"/>
              <w:kinsoku/>
              <w:wordWrap/>
              <w:overflowPunct/>
              <w:topLinePunct w:val="0"/>
              <w:autoSpaceDE/>
              <w:autoSpaceDN/>
              <w:bidi w:val="0"/>
              <w:spacing w:line="360" w:lineRule="auto"/>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12000m³</w:t>
            </w:r>
          </w:p>
        </w:tc>
        <w:tc>
          <w:tcPr>
            <w:tcW w:w="1034" w:type="dxa"/>
            <w:noWrap w:val="0"/>
            <w:vAlign w:val="center"/>
          </w:tcPr>
          <w:p w14:paraId="6BC744C0">
            <w:pPr>
              <w:pageBreakBefore w:val="0"/>
              <w:widowControl w:val="0"/>
              <w:shd w:val="clear" w:color="auto" w:fill="auto"/>
              <w:kinsoku/>
              <w:wordWrap/>
              <w:overflowPunct/>
              <w:topLinePunct w:val="0"/>
              <w:autoSpaceDE/>
              <w:autoSpaceDN/>
              <w:bidi w:val="0"/>
              <w:spacing w:line="360" w:lineRule="auto"/>
              <w:jc w:val="center"/>
              <w:textAlignment w:val="auto"/>
              <w:rPr>
                <w:rFonts w:hint="eastAsia" w:ascii="宋体" w:hAnsi="宋体" w:eastAsia="宋体" w:cs="宋体"/>
                <w:color w:val="auto"/>
                <w:kern w:val="2"/>
                <w:sz w:val="21"/>
                <w:szCs w:val="21"/>
                <w:highlight w:val="none"/>
                <w:lang w:val="en-US" w:eastAsia="zh-CN" w:bidi="ar-SA"/>
              </w:rPr>
            </w:pPr>
          </w:p>
        </w:tc>
        <w:tc>
          <w:tcPr>
            <w:tcW w:w="1034" w:type="dxa"/>
            <w:vMerge w:val="continue"/>
            <w:noWrap w:val="0"/>
            <w:vAlign w:val="center"/>
          </w:tcPr>
          <w:p w14:paraId="2B51DC77">
            <w:pPr>
              <w:shd w:val="clear" w:color="auto" w:fill="auto"/>
              <w:jc w:val="center"/>
              <w:rPr>
                <w:rFonts w:hint="eastAsia" w:ascii="宋体" w:hAnsi="宋体" w:eastAsia="宋体" w:cs="宋体"/>
                <w:color w:val="auto"/>
                <w:kern w:val="2"/>
                <w:sz w:val="21"/>
                <w:szCs w:val="21"/>
                <w:highlight w:val="none"/>
              </w:rPr>
            </w:pPr>
          </w:p>
        </w:tc>
        <w:tc>
          <w:tcPr>
            <w:tcW w:w="1281" w:type="dxa"/>
            <w:vMerge w:val="continue"/>
            <w:noWrap w:val="0"/>
            <w:vAlign w:val="center"/>
          </w:tcPr>
          <w:p w14:paraId="2E209900">
            <w:pPr>
              <w:shd w:val="clear" w:color="auto" w:fill="auto"/>
              <w:jc w:val="center"/>
              <w:rPr>
                <w:rFonts w:hint="eastAsia" w:ascii="宋体" w:hAnsi="宋体" w:eastAsia="宋体" w:cs="宋体"/>
                <w:color w:val="auto"/>
                <w:kern w:val="2"/>
                <w:sz w:val="21"/>
                <w:szCs w:val="21"/>
                <w:highlight w:val="none"/>
              </w:rPr>
            </w:pPr>
          </w:p>
        </w:tc>
        <w:tc>
          <w:tcPr>
            <w:tcW w:w="1281" w:type="dxa"/>
            <w:vMerge w:val="continue"/>
            <w:noWrap w:val="0"/>
            <w:vAlign w:val="center"/>
          </w:tcPr>
          <w:p w14:paraId="2E439A44">
            <w:pPr>
              <w:shd w:val="clear" w:color="auto" w:fill="auto"/>
              <w:jc w:val="center"/>
              <w:rPr>
                <w:rFonts w:hint="eastAsia" w:ascii="宋体" w:hAnsi="宋体" w:eastAsia="宋体" w:cs="宋体"/>
                <w:color w:val="auto"/>
                <w:kern w:val="2"/>
                <w:sz w:val="21"/>
                <w:szCs w:val="21"/>
                <w:highlight w:val="none"/>
              </w:rPr>
            </w:pPr>
          </w:p>
        </w:tc>
        <w:tc>
          <w:tcPr>
            <w:tcW w:w="1084" w:type="dxa"/>
            <w:vMerge w:val="continue"/>
            <w:noWrap w:val="0"/>
            <w:vAlign w:val="center"/>
          </w:tcPr>
          <w:p w14:paraId="62F7FB22">
            <w:pPr>
              <w:shd w:val="clear" w:color="auto" w:fill="auto"/>
              <w:jc w:val="center"/>
              <w:rPr>
                <w:rFonts w:hint="eastAsia" w:ascii="宋体" w:hAnsi="宋体" w:eastAsia="宋体" w:cs="宋体"/>
                <w:color w:val="auto"/>
                <w:kern w:val="2"/>
                <w:sz w:val="21"/>
                <w:szCs w:val="21"/>
                <w:highlight w:val="none"/>
              </w:rPr>
            </w:pPr>
          </w:p>
        </w:tc>
      </w:tr>
      <w:tr w14:paraId="1F746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9333" w:type="dxa"/>
            <w:gridSpan w:val="8"/>
            <w:noWrap w:val="0"/>
            <w:vAlign w:val="center"/>
          </w:tcPr>
          <w:p w14:paraId="793B8D6E">
            <w:pPr>
              <w:shd w:val="clear" w:color="auto" w:fill="auto"/>
              <w:jc w:val="both"/>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lang w:eastAsia="zh-CN"/>
              </w:rPr>
              <w:t>磋商报价</w:t>
            </w:r>
            <w:r>
              <w:rPr>
                <w:rFonts w:hint="eastAsia" w:ascii="宋体" w:hAnsi="宋体" w:eastAsia="宋体" w:cs="宋体"/>
                <w:color w:val="auto"/>
                <w:kern w:val="2"/>
                <w:sz w:val="21"/>
                <w:szCs w:val="21"/>
                <w:highlight w:val="none"/>
              </w:rPr>
              <w:t>（大写）：                                  （小写：¥        ）</w:t>
            </w:r>
          </w:p>
        </w:tc>
      </w:tr>
      <w:tr w14:paraId="36D1B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9333" w:type="dxa"/>
            <w:gridSpan w:val="8"/>
            <w:noWrap w:val="0"/>
            <w:vAlign w:val="center"/>
          </w:tcPr>
          <w:p w14:paraId="26DEC251">
            <w:pPr>
              <w:shd w:val="clear" w:color="auto" w:fill="auto"/>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备注：表内报价内容以元为单位，保留小数点后两位。</w:t>
            </w:r>
          </w:p>
        </w:tc>
      </w:tr>
    </w:tbl>
    <w:p w14:paraId="030211AA">
      <w:pPr>
        <w:jc w:val="left"/>
        <w:rPr>
          <w:rFonts w:hint="eastAsia" w:ascii="宋体" w:hAnsi="宋体" w:eastAsia="宋体" w:cs="宋体"/>
          <w:szCs w:val="24"/>
          <w:highlight w:val="none"/>
        </w:rPr>
      </w:pPr>
      <w:r>
        <w:rPr>
          <w:rFonts w:hint="eastAsia" w:ascii="宋体" w:hAnsi="宋体" w:eastAsia="宋体" w:cs="宋体"/>
          <w:highlight w:val="none"/>
        </w:rPr>
        <w:t xml:space="preserve">                                               </w:t>
      </w:r>
    </w:p>
    <w:p w14:paraId="7709E61A">
      <w:pPr>
        <w:spacing w:line="280" w:lineRule="exact"/>
        <w:ind w:right="540" w:rightChars="257"/>
        <w:jc w:val="left"/>
        <w:rPr>
          <w:rFonts w:hint="eastAsia" w:ascii="宋体" w:hAnsi="宋体" w:eastAsia="宋体" w:cs="宋体"/>
          <w:szCs w:val="24"/>
          <w:highlight w:val="none"/>
        </w:rPr>
      </w:pPr>
    </w:p>
    <w:p w14:paraId="256CA749">
      <w:pPr>
        <w:spacing w:line="280" w:lineRule="exact"/>
        <w:ind w:right="540" w:rightChars="257"/>
        <w:jc w:val="left"/>
        <w:rPr>
          <w:rFonts w:hint="eastAsia" w:ascii="宋体" w:hAnsi="宋体" w:eastAsia="宋体" w:cs="宋体"/>
          <w:szCs w:val="24"/>
          <w:highlight w:val="none"/>
        </w:rPr>
      </w:pPr>
    </w:p>
    <w:p w14:paraId="2C38C693">
      <w:pPr>
        <w:spacing w:line="280" w:lineRule="exact"/>
        <w:ind w:right="540" w:rightChars="257"/>
        <w:jc w:val="left"/>
        <w:rPr>
          <w:rFonts w:hint="eastAsia" w:ascii="宋体" w:hAnsi="宋体" w:eastAsia="宋体" w:cs="宋体"/>
          <w:szCs w:val="24"/>
          <w:highlight w:val="none"/>
        </w:rPr>
      </w:pPr>
    </w:p>
    <w:p w14:paraId="2458A76A">
      <w:pPr>
        <w:spacing w:line="280" w:lineRule="exact"/>
        <w:ind w:right="540" w:rightChars="257"/>
        <w:jc w:val="left"/>
        <w:rPr>
          <w:rFonts w:hint="eastAsia" w:ascii="宋体" w:hAnsi="宋体" w:eastAsia="宋体" w:cs="宋体"/>
          <w:szCs w:val="24"/>
          <w:highlight w:val="none"/>
        </w:rPr>
      </w:pPr>
    </w:p>
    <w:p w14:paraId="2B60EE37">
      <w:pPr>
        <w:spacing w:line="280" w:lineRule="exact"/>
        <w:ind w:right="540" w:rightChars="257"/>
        <w:jc w:val="left"/>
        <w:rPr>
          <w:rFonts w:hint="eastAsia" w:ascii="宋体" w:hAnsi="宋体" w:eastAsia="宋体" w:cs="宋体"/>
          <w:szCs w:val="24"/>
          <w:highlight w:val="none"/>
        </w:rPr>
      </w:pPr>
    </w:p>
    <w:p w14:paraId="38AD3B5A">
      <w:pPr>
        <w:spacing w:line="280" w:lineRule="exact"/>
        <w:ind w:right="540" w:rightChars="257"/>
        <w:jc w:val="left"/>
        <w:rPr>
          <w:rFonts w:hint="eastAsia" w:ascii="宋体" w:hAnsi="宋体" w:eastAsia="宋体" w:cs="宋体"/>
          <w:szCs w:val="24"/>
          <w:highlight w:val="none"/>
        </w:rPr>
      </w:pPr>
    </w:p>
    <w:p w14:paraId="036312CE">
      <w:pPr>
        <w:spacing w:line="280" w:lineRule="exact"/>
        <w:ind w:right="540" w:rightChars="257"/>
        <w:jc w:val="left"/>
        <w:rPr>
          <w:rFonts w:hint="eastAsia" w:ascii="宋体" w:hAnsi="宋体" w:eastAsia="宋体" w:cs="宋体"/>
          <w:szCs w:val="24"/>
          <w:highlight w:val="none"/>
        </w:rPr>
      </w:pPr>
    </w:p>
    <w:p w14:paraId="0E0D24C7">
      <w:pPr>
        <w:spacing w:line="280" w:lineRule="exact"/>
        <w:ind w:right="540" w:rightChars="257"/>
        <w:jc w:val="left"/>
        <w:rPr>
          <w:rFonts w:hint="eastAsia" w:ascii="宋体" w:hAnsi="宋体" w:eastAsia="宋体" w:cs="宋体"/>
          <w:szCs w:val="24"/>
          <w:highlight w:val="none"/>
        </w:rPr>
      </w:pPr>
    </w:p>
    <w:p w14:paraId="72616598">
      <w:pPr>
        <w:spacing w:line="280" w:lineRule="exact"/>
        <w:ind w:right="540" w:rightChars="257"/>
        <w:jc w:val="left"/>
        <w:rPr>
          <w:rFonts w:hint="eastAsia" w:ascii="宋体" w:hAnsi="宋体" w:eastAsia="宋体" w:cs="宋体"/>
          <w:szCs w:val="24"/>
          <w:highlight w:val="none"/>
        </w:rPr>
      </w:pPr>
    </w:p>
    <w:p w14:paraId="3B401782">
      <w:pPr>
        <w:spacing w:line="280" w:lineRule="exact"/>
        <w:ind w:right="540" w:rightChars="257"/>
        <w:jc w:val="left"/>
        <w:rPr>
          <w:rFonts w:hint="eastAsia" w:ascii="宋体" w:hAnsi="宋体" w:eastAsia="宋体" w:cs="宋体"/>
          <w:szCs w:val="24"/>
          <w:highlight w:val="none"/>
        </w:rPr>
      </w:pPr>
    </w:p>
    <w:p w14:paraId="54C01BE0">
      <w:pPr>
        <w:spacing w:line="280" w:lineRule="exact"/>
        <w:ind w:right="540" w:rightChars="257"/>
        <w:jc w:val="left"/>
        <w:rPr>
          <w:rFonts w:hint="eastAsia" w:ascii="宋体" w:hAnsi="宋体" w:eastAsia="宋体" w:cs="宋体"/>
          <w:szCs w:val="24"/>
          <w:highlight w:val="none"/>
        </w:rPr>
      </w:pPr>
    </w:p>
    <w:p w14:paraId="4E4B927E">
      <w:pPr>
        <w:spacing w:line="280" w:lineRule="exact"/>
        <w:ind w:right="540" w:rightChars="257"/>
        <w:jc w:val="left"/>
        <w:rPr>
          <w:rFonts w:hint="eastAsia" w:ascii="宋体" w:hAnsi="宋体" w:eastAsia="宋体" w:cs="宋体"/>
          <w:szCs w:val="24"/>
          <w:highlight w:val="non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（加盖单位公章）</w:t>
      </w:r>
    </w:p>
    <w:p w14:paraId="28F8A7D0">
      <w:pPr>
        <w:spacing w:line="280" w:lineRule="exact"/>
        <w:ind w:right="540" w:rightChars="257"/>
        <w:jc w:val="left"/>
        <w:rPr>
          <w:rFonts w:hint="eastAsia" w:ascii="宋体" w:hAnsi="宋体" w:eastAsia="宋体" w:cs="宋体"/>
          <w:szCs w:val="24"/>
          <w:highlight w:val="none"/>
        </w:rPr>
      </w:pPr>
    </w:p>
    <w:p w14:paraId="27E8E5ED">
      <w:pPr>
        <w:spacing w:line="280" w:lineRule="exact"/>
        <w:ind w:right="540" w:rightChars="257"/>
        <w:jc w:val="left"/>
        <w:rPr>
          <w:rFonts w:hint="eastAsia" w:ascii="宋体" w:hAnsi="宋体" w:eastAsia="宋体" w:cs="宋体"/>
          <w:szCs w:val="24"/>
          <w:highlight w:val="none"/>
        </w:rPr>
      </w:pPr>
      <w:r>
        <w:rPr>
          <w:rFonts w:hint="eastAsia" w:ascii="宋体" w:hAnsi="宋体" w:eastAsia="宋体" w:cs="宋体"/>
          <w:highlight w:val="none"/>
        </w:rPr>
        <w:t>法定代表人/被授权人签字</w:t>
      </w:r>
      <w:r>
        <w:rPr>
          <w:rFonts w:hint="eastAsia" w:ascii="宋体" w:hAnsi="宋体" w:eastAsia="宋体" w:cs="宋体"/>
          <w:spacing w:val="4"/>
          <w:highlight w:val="none"/>
        </w:rPr>
        <w:t>或盖章</w:t>
      </w:r>
      <w:r>
        <w:rPr>
          <w:rFonts w:hint="eastAsia" w:ascii="宋体" w:hAnsi="宋体" w:eastAsia="宋体" w:cs="宋体"/>
          <w:szCs w:val="24"/>
          <w:highlight w:val="none"/>
        </w:rPr>
        <w:t>：</w:t>
      </w:r>
    </w:p>
    <w:p w14:paraId="444B18A8">
      <w:pPr>
        <w:spacing w:line="280" w:lineRule="exact"/>
        <w:ind w:right="540" w:rightChars="257"/>
        <w:jc w:val="left"/>
        <w:rPr>
          <w:rFonts w:hint="eastAsia" w:ascii="宋体" w:hAnsi="宋体" w:eastAsia="宋体" w:cs="宋体"/>
          <w:szCs w:val="24"/>
          <w:highlight w:val="none"/>
        </w:rPr>
      </w:pPr>
    </w:p>
    <w:p w14:paraId="5504D68D">
      <w:pPr>
        <w:spacing w:line="280" w:lineRule="exact"/>
        <w:ind w:right="540" w:rightChars="257"/>
        <w:rPr>
          <w:rFonts w:hint="default" w:ascii="宋体" w:hAnsi="宋体" w:eastAsia="宋体" w:cs="宋体"/>
          <w:szCs w:val="24"/>
          <w:highlight w:val="none"/>
          <w:lang w:val="en-US" w:eastAsia="zh-CN"/>
        </w:rPr>
      </w:pPr>
      <w:r>
        <w:rPr>
          <w:rFonts w:hint="eastAsia" w:ascii="宋体" w:hAnsi="宋体" w:eastAsia="宋体" w:cs="宋体"/>
          <w:szCs w:val="24"/>
          <w:highlight w:val="none"/>
        </w:rPr>
        <w:t>日    期：</w:t>
      </w:r>
      <w:r>
        <w:rPr>
          <w:rFonts w:hint="eastAsia" w:ascii="宋体" w:hAnsi="宋体" w:eastAsia="宋体" w:cs="宋体"/>
          <w:szCs w:val="24"/>
          <w:highlight w:val="none"/>
          <w:lang w:val="en-US" w:eastAsia="zh-CN"/>
        </w:rPr>
        <w:t xml:space="preserve">   年   月    日</w:t>
      </w:r>
    </w:p>
    <w:p w14:paraId="606198E5">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decorative"/>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C5483F"/>
    <w:rsid w:val="01C548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3"/>
    <w:qFormat/>
    <w:uiPriority w:val="0"/>
    <w:pPr>
      <w:keepNext/>
      <w:spacing w:before="624" w:beforeLines="200" w:line="400" w:lineRule="exact"/>
      <w:jc w:val="center"/>
      <w:outlineLvl w:val="2"/>
    </w:pPr>
    <w:rPr>
      <w:rFonts w:ascii="Times New Roman"/>
      <w:b/>
      <w:bCs/>
      <w:kern w:val="2"/>
      <w:szCs w:val="2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spacing w:line="300" w:lineRule="auto"/>
      <w:ind w:firstLine="420" w:firstLineChars="200"/>
    </w:pPr>
    <w:rPr>
      <w:rFonts w:ascii="Times New Roman"/>
      <w:kern w:val="2"/>
      <w:sz w:val="21"/>
      <w:szCs w:val="24"/>
    </w:rPr>
  </w:style>
  <w:style w:type="paragraph" w:styleId="4">
    <w:name w:val="toc 4"/>
    <w:basedOn w:val="1"/>
    <w:next w:val="1"/>
    <w:unhideWhenUsed/>
    <w:qFormat/>
    <w:uiPriority w:val="39"/>
    <w:pPr>
      <w:ind w:left="1260" w:leftChars="6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2025-09-11T11:07:00Z</dcterms:created>
  <dc:creator>ZBB</dc:creator>
  <cp:lastModifiedBy>ZBB</cp:lastModifiedBy>
  <dcterms:modified xsi:type="dcterms:W3CDTF">2025-09-11T11:07:59Z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77250F2C55E24E6090A86A9F57FD1FA0_11</vt:lpwstr>
  </property>
  <property fmtid="{D5CDD505-2E9C-101B-9397-08002B2CF9AE}" pid="4" name="KSOTemplateDocerSaveRecord">
    <vt:lpwstr>eyJoZGlkIjoiOTFmZWVhNDRmNTgzOTg3YTkyNzUwNWU2Nzk1Y2FhZTkiLCJ1c2VySWQiOiIyNjQ2NDU1NDQifQ==</vt:lpwstr>
  </property>
</Properties>
</file>