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70AD0">
      <w:pPr>
        <w:pStyle w:val="2"/>
        <w:numPr>
          <w:ilvl w:val="0"/>
          <w:numId w:val="0"/>
        </w:numPr>
        <w:ind w:firstLine="3600" w:firstLineChars="1000"/>
        <w:jc w:val="both"/>
        <w:outlineLvl w:val="0"/>
      </w:pPr>
      <w:r>
        <w:rPr>
          <w:rFonts w:hint="eastAsia" w:ascii="Times New Roman" w:hAnsi="Times New Roman" w:cs="Times New Roman"/>
        </w:rPr>
        <w:t>拟签订的合同文本</w:t>
      </w:r>
    </w:p>
    <w:p w14:paraId="5E5FE49E"/>
    <w:p w14:paraId="167F79D1">
      <w:pPr>
        <w:autoSpaceDE w:val="0"/>
        <w:spacing w:line="360" w:lineRule="auto"/>
        <w:ind w:firstLine="210" w:firstLineChars="100"/>
        <w:rPr>
          <w:rFonts w:hint="eastAsia" w:eastAsia="宋体"/>
          <w:b/>
          <w:bCs/>
          <w:szCs w:val="21"/>
          <w:u w:val="single"/>
          <w:lang w:val="en-US" w:eastAsia="zh-CN"/>
        </w:rPr>
      </w:pPr>
      <w:r>
        <w:rPr>
          <w:rFonts w:hint="eastAsia"/>
          <w:b/>
          <w:bCs/>
          <w:szCs w:val="21"/>
        </w:rPr>
        <w:t>甲方：</w:t>
      </w:r>
      <w:r>
        <w:rPr>
          <w:rFonts w:hint="eastAsia"/>
          <w:b/>
          <w:bCs/>
          <w:szCs w:val="21"/>
          <w:u w:val="single"/>
          <w:lang w:val="en-US" w:eastAsia="zh-CN"/>
        </w:rPr>
        <w:t xml:space="preserve">                         </w:t>
      </w:r>
      <w:r>
        <w:rPr>
          <w:rFonts w:hint="eastAsia"/>
          <w:b/>
          <w:bCs/>
          <w:szCs w:val="21"/>
          <w:u w:val="none"/>
          <w:lang w:val="en-US" w:eastAsia="zh-CN"/>
        </w:rPr>
        <w:t xml:space="preserve">  </w:t>
      </w:r>
    </w:p>
    <w:p w14:paraId="64C010A2">
      <w:pPr>
        <w:autoSpaceDE w:val="0"/>
        <w:spacing w:after="100" w:afterAutospacing="1" w:line="360" w:lineRule="auto"/>
        <w:ind w:firstLine="210" w:firstLineChars="100"/>
        <w:rPr>
          <w:rFonts w:ascii="Calibri" w:hAnsi="Calibri" w:cs="Calibri"/>
          <w:b/>
          <w:bCs/>
          <w:sz w:val="21"/>
          <w:szCs w:val="21"/>
          <w:u w:val="single"/>
        </w:rPr>
      </w:pPr>
      <w:r>
        <w:rPr>
          <w:rFonts w:hint="eastAsia"/>
          <w:b/>
          <w:bCs/>
          <w:szCs w:val="21"/>
        </w:rPr>
        <w:t>乙方：</w:t>
      </w:r>
      <w:r>
        <w:rPr>
          <w:rFonts w:hint="eastAsia"/>
          <w:b/>
          <w:bCs/>
          <w:szCs w:val="21"/>
          <w:u w:val="single"/>
          <w:lang w:val="en-US" w:eastAsia="zh-CN"/>
        </w:rPr>
        <w:t xml:space="preserve">                         </w:t>
      </w:r>
      <w:r>
        <w:rPr>
          <w:rFonts w:hint="eastAsia"/>
          <w:b/>
          <w:bCs/>
          <w:szCs w:val="21"/>
          <w:u w:val="none"/>
          <w:lang w:val="en-US" w:eastAsia="zh-CN"/>
        </w:rPr>
        <w:t xml:space="preserve">                    </w:t>
      </w:r>
      <w:r>
        <w:rPr>
          <w:rFonts w:hint="eastAsia"/>
          <w:b/>
          <w:bCs/>
          <w:szCs w:val="21"/>
          <w:u w:val="none"/>
        </w:rPr>
        <w:t xml:space="preserve"> </w:t>
      </w:r>
      <w:r>
        <w:rPr>
          <w:rFonts w:hint="eastAsia"/>
          <w:b/>
          <w:bCs/>
          <w:szCs w:val="21"/>
          <w:u w:val="none"/>
          <w:lang w:val="en-US" w:eastAsia="zh-CN"/>
        </w:rPr>
        <w:t xml:space="preserve"> </w:t>
      </w:r>
    </w:p>
    <w:p w14:paraId="478336A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u w:val="single"/>
          <w:lang w:val="en-US" w:eastAsia="zh-CN"/>
        </w:rPr>
        <w:t xml:space="preserve">                    </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事宜，协商一致，签订本合同，以兹共同遵守。</w:t>
      </w:r>
    </w:p>
    <w:p w14:paraId="1521F613">
      <w:pPr>
        <w:spacing w:line="360" w:lineRule="auto"/>
        <w:ind w:firstLine="420" w:firstLineChars="200"/>
        <w:outlineLvl w:val="1"/>
        <w:rPr>
          <w:rFonts w:hint="eastAsia" w:ascii="宋体" w:hAnsi="宋体" w:eastAsia="宋体" w:cs="Times New Roman"/>
          <w:b/>
          <w:bCs/>
          <w:sz w:val="21"/>
          <w:szCs w:val="21"/>
          <w:lang w:val="en-US" w:eastAsia="zh-CN"/>
        </w:rPr>
      </w:pPr>
      <w:bookmarkStart w:id="0" w:name="_Toc20016"/>
      <w:r>
        <w:rPr>
          <w:rFonts w:hint="eastAsia" w:ascii="宋体" w:hAnsi="宋体" w:eastAsia="宋体" w:cs="Times New Roman"/>
          <w:b/>
          <w:bCs/>
          <w:sz w:val="21"/>
          <w:szCs w:val="21"/>
          <w:lang w:val="en-US" w:eastAsia="zh-CN"/>
        </w:rPr>
        <w:t>第一条  服务名称及地点</w:t>
      </w:r>
      <w:bookmarkEnd w:id="0"/>
    </w:p>
    <w:p w14:paraId="09702E7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1.1项目名称：</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458C353B">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1.2项目地点：</w:t>
      </w:r>
      <w:r>
        <w:rPr>
          <w:rFonts w:hint="eastAsia" w:ascii="宋体" w:hAnsi="宋体" w:cs="Times New Roman"/>
          <w:sz w:val="21"/>
          <w:szCs w:val="21"/>
          <w:u w:val="single"/>
          <w:lang w:val="en-US" w:eastAsia="zh-CN"/>
        </w:rPr>
        <w:t xml:space="preserve">                                                 </w:t>
      </w:r>
      <w:bookmarkStart w:id="11" w:name="_GoBack"/>
      <w:bookmarkEnd w:id="11"/>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046612B6">
      <w:pPr>
        <w:spacing w:line="360" w:lineRule="auto"/>
        <w:ind w:firstLine="420" w:firstLineChars="200"/>
        <w:outlineLvl w:val="1"/>
        <w:rPr>
          <w:rFonts w:hint="eastAsia" w:ascii="宋体" w:hAnsi="宋体" w:eastAsia="宋体" w:cs="Times New Roman"/>
          <w:b/>
          <w:bCs/>
          <w:sz w:val="21"/>
          <w:szCs w:val="21"/>
          <w:lang w:val="en-US" w:eastAsia="zh-CN"/>
        </w:rPr>
      </w:pPr>
      <w:bookmarkStart w:id="1" w:name="_Toc5121"/>
      <w:r>
        <w:rPr>
          <w:rFonts w:hint="eastAsia" w:ascii="宋体" w:hAnsi="宋体" w:eastAsia="宋体" w:cs="Times New Roman"/>
          <w:b/>
          <w:bCs/>
          <w:sz w:val="21"/>
          <w:szCs w:val="21"/>
          <w:lang w:val="en-US" w:eastAsia="zh-CN"/>
        </w:rPr>
        <w:t>第二条  服务内容、范围及基本要求</w:t>
      </w:r>
      <w:bookmarkEnd w:id="1"/>
    </w:p>
    <w:p w14:paraId="6D577816">
      <w:pPr>
        <w:spacing w:line="360" w:lineRule="auto"/>
        <w:ind w:firstLine="420" w:firstLineChars="200"/>
        <w:outlineLvl w:val="1"/>
        <w:rPr>
          <w:rFonts w:hint="eastAsia" w:ascii="宋体" w:hAnsi="宋体" w:cs="Times New Roman"/>
          <w:b w:val="0"/>
          <w:bCs w:val="0"/>
          <w:sz w:val="21"/>
          <w:szCs w:val="21"/>
          <w:lang w:val="en-US" w:eastAsia="zh-CN"/>
        </w:rPr>
      </w:pPr>
      <w:bookmarkStart w:id="2" w:name="_Toc29405"/>
      <w:r>
        <w:rPr>
          <w:rFonts w:hint="eastAsia" w:ascii="宋体" w:hAnsi="宋体" w:cs="Times New Roman"/>
          <w:b w:val="0"/>
          <w:bCs w:val="0"/>
          <w:sz w:val="21"/>
          <w:szCs w:val="21"/>
          <w:lang w:val="en-US" w:eastAsia="zh-CN"/>
        </w:rPr>
        <w:t>2.1</w:t>
      </w:r>
      <w:r>
        <w:rPr>
          <w:rFonts w:hint="eastAsia" w:ascii="宋体" w:hAnsi="宋体" w:eastAsia="宋体" w:cs="Times New Roman"/>
          <w:b w:val="0"/>
          <w:bCs w:val="0"/>
          <w:sz w:val="21"/>
          <w:szCs w:val="21"/>
          <w:lang w:val="en-US" w:eastAsia="zh-CN"/>
        </w:rPr>
        <w:t>服务内容</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0B31D276">
      <w:pPr>
        <w:spacing w:line="360" w:lineRule="auto"/>
        <w:ind w:firstLine="420" w:firstLineChars="200"/>
        <w:outlineLvl w:val="1"/>
        <w:rPr>
          <w:rFonts w:hint="default" w:ascii="宋体" w:hAnsi="宋体" w:cs="Times New Roman"/>
          <w:b w:val="0"/>
          <w:bCs w:val="0"/>
          <w:sz w:val="21"/>
          <w:szCs w:val="21"/>
          <w:lang w:val="en-US" w:eastAsia="zh-CN"/>
        </w:rPr>
      </w:pPr>
      <w:r>
        <w:rPr>
          <w:rFonts w:hint="eastAsia" w:ascii="宋体" w:hAnsi="宋体" w:cs="Times New Roman"/>
          <w:b w:val="0"/>
          <w:bCs w:val="0"/>
          <w:sz w:val="21"/>
          <w:szCs w:val="21"/>
          <w:lang w:val="en-US" w:eastAsia="zh-CN"/>
        </w:rPr>
        <w:t>2.2服务</w:t>
      </w:r>
      <w:r>
        <w:rPr>
          <w:rFonts w:hint="eastAsia" w:ascii="宋体" w:hAnsi="宋体" w:eastAsia="宋体" w:cs="Times New Roman"/>
          <w:b w:val="0"/>
          <w:bCs w:val="0"/>
          <w:sz w:val="21"/>
          <w:szCs w:val="21"/>
          <w:lang w:val="en-US" w:eastAsia="zh-CN"/>
        </w:rPr>
        <w:t>范围</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244E805F">
      <w:pPr>
        <w:spacing w:line="360" w:lineRule="auto"/>
        <w:ind w:firstLine="420" w:firstLineChars="200"/>
        <w:outlineLvl w:val="1"/>
        <w:rPr>
          <w:rFonts w:hint="default" w:ascii="宋体" w:hAnsi="宋体" w:eastAsia="宋体" w:cs="Times New Roman"/>
          <w:b w:val="0"/>
          <w:bCs w:val="0"/>
          <w:sz w:val="21"/>
          <w:szCs w:val="21"/>
          <w:lang w:val="en-US" w:eastAsia="zh-CN"/>
        </w:rPr>
      </w:pPr>
      <w:r>
        <w:rPr>
          <w:rFonts w:hint="eastAsia" w:ascii="宋体" w:hAnsi="宋体" w:cs="Times New Roman"/>
          <w:b w:val="0"/>
          <w:bCs w:val="0"/>
          <w:sz w:val="21"/>
          <w:szCs w:val="21"/>
          <w:lang w:val="en-US" w:eastAsia="zh-CN"/>
        </w:rPr>
        <w:t>2.3基本要求：</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7D0636EC">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 xml:space="preserve">第三条  </w:t>
      </w:r>
      <w:bookmarkEnd w:id="2"/>
      <w:r>
        <w:rPr>
          <w:rFonts w:hint="eastAsia" w:ascii="宋体" w:hAnsi="宋体" w:eastAsia="宋体" w:cs="Times New Roman"/>
          <w:b/>
          <w:bCs/>
          <w:sz w:val="21"/>
          <w:szCs w:val="21"/>
          <w:lang w:val="en-US" w:eastAsia="zh-CN"/>
        </w:rPr>
        <w:t>服务期限</w:t>
      </w:r>
    </w:p>
    <w:p w14:paraId="7C2A2D70">
      <w:pPr>
        <w:spacing w:line="360" w:lineRule="auto"/>
        <w:ind w:firstLine="420" w:firstLineChars="200"/>
        <w:rPr>
          <w:rFonts w:hint="eastAsia" w:ascii="宋体" w:hAnsi="宋体" w:cs="Times New Roman"/>
          <w:b/>
          <w:bCs/>
          <w:sz w:val="21"/>
          <w:szCs w:val="21"/>
          <w:lang w:val="en-US" w:eastAsia="zh-CN"/>
        </w:rPr>
      </w:pPr>
      <w:r>
        <w:rPr>
          <w:rFonts w:hint="eastAsia" w:ascii="宋体" w:hAnsi="宋体" w:cs="Times New Roman"/>
          <w:b w:val="0"/>
          <w:bCs w:val="0"/>
          <w:sz w:val="21"/>
          <w:szCs w:val="21"/>
          <w:lang w:val="en-US" w:eastAsia="zh-CN"/>
        </w:rPr>
        <w:t>3.1</w:t>
      </w:r>
      <w:r>
        <w:rPr>
          <w:rFonts w:hint="eastAsia" w:ascii="宋体" w:hAnsi="宋体" w:eastAsia="宋体" w:cs="Times New Roman"/>
          <w:b w:val="0"/>
          <w:bCs w:val="0"/>
          <w:sz w:val="21"/>
          <w:szCs w:val="21"/>
          <w:lang w:val="en-US" w:eastAsia="zh-CN"/>
        </w:rPr>
        <w:t>服务期限</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6EB3804A">
      <w:pPr>
        <w:spacing w:line="360" w:lineRule="auto"/>
        <w:ind w:firstLine="420" w:firstLineChars="200"/>
        <w:outlineLvl w:val="1"/>
        <w:rPr>
          <w:rFonts w:hint="eastAsia" w:ascii="宋体" w:hAnsi="宋体" w:eastAsia="宋体" w:cs="Times New Roman"/>
          <w:b/>
          <w:bCs/>
          <w:sz w:val="21"/>
          <w:szCs w:val="21"/>
          <w:lang w:val="en-US" w:eastAsia="zh-CN"/>
        </w:rPr>
      </w:pPr>
      <w:bookmarkStart w:id="3" w:name="_Toc16719"/>
      <w:r>
        <w:rPr>
          <w:rFonts w:hint="eastAsia" w:ascii="宋体" w:hAnsi="宋体" w:eastAsia="宋体" w:cs="Times New Roman"/>
          <w:b/>
          <w:bCs/>
          <w:sz w:val="21"/>
          <w:szCs w:val="21"/>
          <w:lang w:val="en-US" w:eastAsia="zh-CN"/>
        </w:rPr>
        <w:t>第四条  合同价款及结算</w:t>
      </w:r>
      <w:bookmarkEnd w:id="3"/>
    </w:p>
    <w:p w14:paraId="1DFB6D27">
      <w:pPr>
        <w:spacing w:line="360" w:lineRule="auto"/>
        <w:ind w:firstLine="420" w:firstLineChars="200"/>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4.1合同价款为：</w:t>
      </w:r>
    </w:p>
    <w:p w14:paraId="0099A846">
      <w:pPr>
        <w:spacing w:line="36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101E2C1F">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4EA4159B">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不限于</w:t>
      </w:r>
      <w:r>
        <w:rPr>
          <w:rFonts w:hint="eastAsia" w:ascii="宋体" w:hAnsi="宋体" w:eastAsia="宋体" w:cs="Times New Roman"/>
          <w:b/>
          <w:bCs/>
          <w:sz w:val="21"/>
          <w:szCs w:val="21"/>
          <w:highlight w:val="none"/>
          <w:lang w:val="en-US" w:eastAsia="zh-CN"/>
        </w:rPr>
        <w:t>人员工资、奖金、社保、福利、购置服装、劳动用品、利润、税金等为完成本项目所涉及全部费用。</w:t>
      </w:r>
    </w:p>
    <w:p w14:paraId="4C80681C">
      <w:pPr>
        <w:spacing w:line="360" w:lineRule="auto"/>
        <w:ind w:firstLine="420" w:firstLineChars="200"/>
        <w:rPr>
          <w:rFonts w:hint="eastAsia" w:ascii="宋体" w:hAnsi="宋体" w:cs="Times New Roman"/>
          <w:b/>
          <w:bCs/>
          <w:sz w:val="21"/>
          <w:szCs w:val="21"/>
          <w:highlight w:val="yellow"/>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r>
        <w:rPr>
          <w:rFonts w:hint="eastAsia" w:ascii="宋体" w:hAnsi="宋体" w:cs="Times New Roman"/>
          <w:b/>
          <w:bCs/>
          <w:sz w:val="21"/>
          <w:szCs w:val="21"/>
          <w:highlight w:val="none"/>
          <w:lang w:val="en-US" w:eastAsia="zh-CN"/>
        </w:rPr>
        <w:t>在月末甲方对乙方当月安保服务情况进行考核，根据考核情况结果在下月初支付上月安保费用。</w:t>
      </w:r>
    </w:p>
    <w:p w14:paraId="1621867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 </w:t>
      </w:r>
      <w:r>
        <w:rPr>
          <w:rFonts w:hint="eastAsia" w:ascii="宋体" w:hAnsi="宋体" w:cs="Times New Roman"/>
          <w:sz w:val="21"/>
          <w:szCs w:val="21"/>
          <w:lang w:val="en-US" w:eastAsia="zh-CN"/>
        </w:rPr>
        <w:t>甲方付款前，</w:t>
      </w:r>
      <w:r>
        <w:rPr>
          <w:rFonts w:hint="eastAsia" w:ascii="宋体" w:hAnsi="宋体" w:eastAsia="宋体" w:cs="Times New Roman"/>
          <w:sz w:val="21"/>
          <w:szCs w:val="21"/>
          <w:lang w:val="en-US" w:eastAsia="zh-CN"/>
        </w:rPr>
        <w:t>乙方按</w:t>
      </w:r>
      <w:r>
        <w:rPr>
          <w:rFonts w:hint="eastAsia" w:ascii="宋体" w:hAnsi="宋体" w:cs="Times New Roman"/>
          <w:sz w:val="21"/>
          <w:szCs w:val="21"/>
          <w:lang w:val="en-US" w:eastAsia="zh-CN"/>
        </w:rPr>
        <w:t>甲</w:t>
      </w:r>
      <w:r>
        <w:rPr>
          <w:rFonts w:hint="eastAsia" w:ascii="宋体" w:hAnsi="宋体" w:eastAsia="宋体" w:cs="Times New Roman"/>
          <w:sz w:val="21"/>
          <w:szCs w:val="21"/>
          <w:lang w:val="en-US" w:eastAsia="zh-CN"/>
        </w:rPr>
        <w:t>方</w:t>
      </w:r>
      <w:r>
        <w:rPr>
          <w:rFonts w:hint="eastAsia" w:ascii="宋体" w:hAnsi="宋体" w:cs="Times New Roman"/>
          <w:sz w:val="21"/>
          <w:szCs w:val="21"/>
          <w:lang w:val="en-US" w:eastAsia="zh-CN"/>
        </w:rPr>
        <w:t>要求开具</w:t>
      </w:r>
      <w:r>
        <w:rPr>
          <w:rFonts w:hint="eastAsia" w:ascii="宋体" w:hAnsi="宋体" w:eastAsia="宋体" w:cs="Times New Roman"/>
          <w:sz w:val="21"/>
          <w:szCs w:val="21"/>
          <w:lang w:val="en-US" w:eastAsia="zh-CN"/>
        </w:rPr>
        <w:t>发票。</w:t>
      </w:r>
    </w:p>
    <w:p w14:paraId="631E3939">
      <w:pPr>
        <w:spacing w:line="360" w:lineRule="auto"/>
        <w:ind w:firstLine="420" w:firstLineChars="200"/>
        <w:outlineLvl w:val="1"/>
        <w:rPr>
          <w:rFonts w:hint="eastAsia" w:ascii="宋体" w:hAnsi="宋体" w:eastAsia="宋体" w:cs="Times New Roman"/>
          <w:b/>
          <w:bCs/>
          <w:sz w:val="21"/>
          <w:szCs w:val="21"/>
          <w:lang w:val="en-US" w:eastAsia="zh-CN"/>
        </w:rPr>
      </w:pPr>
      <w:bookmarkStart w:id="4" w:name="_Toc24855"/>
      <w:r>
        <w:rPr>
          <w:rFonts w:hint="eastAsia" w:ascii="宋体" w:hAnsi="宋体" w:eastAsia="宋体" w:cs="Times New Roman"/>
          <w:b/>
          <w:bCs/>
          <w:sz w:val="21"/>
          <w:szCs w:val="21"/>
          <w:lang w:val="en-US" w:eastAsia="zh-CN"/>
        </w:rPr>
        <w:t>第五条  甲方的权利和义务</w:t>
      </w:r>
      <w:bookmarkEnd w:id="4"/>
    </w:p>
    <w:p w14:paraId="29688A2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5.1 对乙方所呈报的问题及时给予答复。</w:t>
      </w:r>
    </w:p>
    <w:p w14:paraId="5B97FC9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5.2 有权对乙方配置人员进行身份和资格核查、备案。</w:t>
      </w:r>
    </w:p>
    <w:p w14:paraId="04A3D02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5.3 在服务过程中甲方现场工作人员有权对乙方派驻人员的具体工作进行调整安排，同时有权对乙方的服务工作提出合理化建议，并要求乙方限期改正。</w:t>
      </w:r>
    </w:p>
    <w:p w14:paraId="1AC511B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5.4有义务根据约定及时结算和支付合同费用。</w:t>
      </w:r>
    </w:p>
    <w:p w14:paraId="1F33757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5.5有义务协助乙方共同提高服务质量。</w:t>
      </w:r>
    </w:p>
    <w:p w14:paraId="447B717D">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5.6 甲方有权要求乙方调换不符合甲方要求、不服从甲方安排及可能影服务的派驻人员。</w:t>
      </w:r>
    </w:p>
    <w:p w14:paraId="78322455">
      <w:pPr>
        <w:spacing w:line="360" w:lineRule="auto"/>
        <w:ind w:firstLine="420" w:firstLineChars="200"/>
        <w:outlineLvl w:val="1"/>
        <w:rPr>
          <w:rFonts w:hint="eastAsia" w:ascii="宋体" w:hAnsi="宋体" w:eastAsia="宋体" w:cs="Times New Roman"/>
          <w:b/>
          <w:bCs/>
          <w:sz w:val="21"/>
          <w:szCs w:val="21"/>
          <w:lang w:val="en-US" w:eastAsia="zh-CN"/>
        </w:rPr>
      </w:pPr>
      <w:bookmarkStart w:id="5" w:name="_Toc15311"/>
      <w:r>
        <w:rPr>
          <w:rFonts w:hint="eastAsia" w:ascii="宋体" w:hAnsi="宋体" w:eastAsia="宋体" w:cs="Times New Roman"/>
          <w:b/>
          <w:bCs/>
          <w:sz w:val="21"/>
          <w:szCs w:val="21"/>
          <w:lang w:val="en-US" w:eastAsia="zh-CN"/>
        </w:rPr>
        <w:t>第六条  乙方的权利和义务</w:t>
      </w:r>
      <w:bookmarkEnd w:id="5"/>
    </w:p>
    <w:p w14:paraId="3CEF2F5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6.1 乙方须科学建立管理机构、配置关键岗位，保证机构设置完整、合理、精干高效。乙方负责培训、岗位分配、工资发放、考勤考核等。</w:t>
      </w:r>
    </w:p>
    <w:p w14:paraId="535775C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6.2 乙方应保证其配置人员符合国家、行业规定的准入条件、上岗条件和甲方要求。乙方有义务对其人员进行上岗培训、管理教育，确保能圆满顺利完成任务。</w:t>
      </w:r>
    </w:p>
    <w:p w14:paraId="6130018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6.3乙方项目负责人负责本项目派驻人员的管理、生产组织及相关资料建立等，组织队伍完成合同规定的工作内容。</w:t>
      </w:r>
    </w:p>
    <w:p w14:paraId="0F73FC0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6.4 对于服务中出现的投诉、事故，乙方应当自行处理，对于涉及甲方工作质量、荣誉、经济损失等重大问题时，需向甲方有关负责人及时沟通汇报。</w:t>
      </w:r>
    </w:p>
    <w:p w14:paraId="72BDBBC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6.5乙方应当根据工作量及服务标准，足量配置员工队伍，保证派驻人员服从甲方工作人员的指挥和安排。</w:t>
      </w:r>
    </w:p>
    <w:p w14:paraId="0997EDB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6.6 未经甲方事先书面同意，乙方不得将本合同全部或者部分转包给第三方。</w:t>
      </w:r>
    </w:p>
    <w:p w14:paraId="392BF59A">
      <w:pPr>
        <w:pStyle w:val="6"/>
        <w:spacing w:line="360" w:lineRule="auto"/>
        <w:ind w:firstLine="559"/>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w:t>
      </w:r>
      <w:r>
        <w:rPr>
          <w:rFonts w:hint="eastAsia" w:ascii="宋体" w:hAnsi="宋体" w:cs="Times New Roman"/>
          <w:sz w:val="21"/>
          <w:szCs w:val="21"/>
          <w:lang w:val="en-US" w:eastAsia="zh-CN"/>
        </w:rPr>
        <w:t>7</w:t>
      </w:r>
      <w:r>
        <w:rPr>
          <w:rFonts w:hint="eastAsia" w:ascii="宋体" w:hAnsi="宋体" w:eastAsia="宋体" w:cs="Times New Roman"/>
          <w:sz w:val="21"/>
          <w:szCs w:val="21"/>
          <w:lang w:val="en-US" w:eastAsia="zh-CN"/>
        </w:rPr>
        <w:t xml:space="preserve"> 乙方应执行《劳动法》的相关规定，确保人员稳定。</w:t>
      </w:r>
    </w:p>
    <w:p w14:paraId="3D8FC407">
      <w:pPr>
        <w:spacing w:line="360" w:lineRule="auto"/>
        <w:ind w:firstLine="420" w:firstLineChars="200"/>
        <w:outlineLvl w:val="1"/>
        <w:rPr>
          <w:rFonts w:hint="eastAsia" w:ascii="宋体" w:hAnsi="宋体" w:eastAsia="宋体" w:cs="Times New Roman"/>
          <w:b/>
          <w:bCs/>
          <w:sz w:val="21"/>
          <w:szCs w:val="21"/>
          <w:lang w:val="en-US" w:eastAsia="zh-CN"/>
        </w:rPr>
      </w:pPr>
      <w:bookmarkStart w:id="6" w:name="_Toc11049"/>
      <w:r>
        <w:rPr>
          <w:rFonts w:hint="eastAsia" w:ascii="宋体" w:hAnsi="宋体" w:eastAsia="宋体" w:cs="Times New Roman"/>
          <w:b/>
          <w:bCs/>
          <w:sz w:val="21"/>
          <w:szCs w:val="21"/>
          <w:lang w:val="en-US" w:eastAsia="zh-CN"/>
        </w:rPr>
        <w:t>第七条  安全责任划分</w:t>
      </w:r>
      <w:bookmarkEnd w:id="6"/>
    </w:p>
    <w:p w14:paraId="0404023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771CB69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7.2乙方必须按照法律相关规定对人身安全负责。</w:t>
      </w:r>
    </w:p>
    <w:p w14:paraId="63CEF029">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7.3乙方派驻人员的道路交通安全由乙方负责。工作期间发生的道路交通安全事故责任，以公安部门认定为准。乙方单位或工作人员原因导致的道路交通责任事故，由乙方负责处理。</w:t>
      </w:r>
    </w:p>
    <w:p w14:paraId="5AF172EF">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117B9D0B">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无</w:t>
      </w:r>
    </w:p>
    <w:p w14:paraId="50857AD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8.2乙方未能按照约定提供服务</w:t>
      </w:r>
      <w:r>
        <w:rPr>
          <w:rFonts w:hint="eastAsia" w:ascii="宋体" w:hAnsi="宋体" w:cs="Times New Roman"/>
          <w:sz w:val="21"/>
          <w:szCs w:val="21"/>
          <w:lang w:val="en-US" w:eastAsia="zh-CN"/>
        </w:rPr>
        <w:t>，</w:t>
      </w:r>
      <w:r>
        <w:rPr>
          <w:rFonts w:hint="eastAsia" w:ascii="宋体" w:hAnsi="宋体" w:eastAsia="宋体" w:cs="Times New Roman"/>
          <w:sz w:val="21"/>
          <w:szCs w:val="21"/>
          <w:lang w:val="en-US" w:eastAsia="zh-CN"/>
        </w:rPr>
        <w:t>或服务未达到甲方验收标准,甲方有权要求乙方限期整改,乙方无正当理由逾期未整改或拒绝整改,给甲方工作质量、进度、声誉造成影响，甲方有权无责终止合同，并要求乙方承担</w:t>
      </w:r>
      <w:r>
        <w:rPr>
          <w:rFonts w:hint="eastAsia" w:ascii="宋体" w:hAnsi="宋体" w:cs="Times New Roman"/>
          <w:sz w:val="21"/>
          <w:szCs w:val="21"/>
          <w:lang w:val="en-US" w:eastAsia="zh-CN"/>
        </w:rPr>
        <w:t>合同额</w:t>
      </w:r>
      <w:r>
        <w:rPr>
          <w:rFonts w:hint="eastAsia" w:ascii="宋体" w:hAnsi="宋体" w:cs="Times New Roman"/>
          <w:b/>
          <w:bCs/>
          <w:sz w:val="21"/>
          <w:szCs w:val="21"/>
          <w:u w:val="single"/>
          <w:lang w:val="en-US" w:eastAsia="zh-CN"/>
        </w:rPr>
        <w:t>20%</w:t>
      </w:r>
      <w:r>
        <w:rPr>
          <w:rFonts w:hint="eastAsia" w:ascii="宋体" w:hAnsi="宋体" w:cs="Times New Roman"/>
          <w:b w:val="0"/>
          <w:bCs w:val="0"/>
          <w:sz w:val="21"/>
          <w:szCs w:val="21"/>
          <w:u w:val="none"/>
          <w:lang w:val="en-US" w:eastAsia="zh-CN"/>
        </w:rPr>
        <w:t>的</w:t>
      </w:r>
      <w:r>
        <w:rPr>
          <w:rFonts w:hint="eastAsia" w:ascii="宋体" w:hAnsi="宋体" w:eastAsia="宋体" w:cs="Times New Roman"/>
          <w:sz w:val="21"/>
          <w:szCs w:val="21"/>
          <w:lang w:val="en-US" w:eastAsia="zh-CN"/>
        </w:rPr>
        <w:t>违约金。</w:t>
      </w:r>
    </w:p>
    <w:p w14:paraId="221B25DD">
      <w:pPr>
        <w:pStyle w:val="6"/>
        <w:spacing w:line="360" w:lineRule="auto"/>
        <w:ind w:firstLine="55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8.3</w:t>
      </w:r>
      <w:r>
        <w:rPr>
          <w:rFonts w:hint="eastAsia" w:ascii="宋体" w:hAnsi="宋体" w:eastAsia="宋体" w:cs="Times New Roman"/>
          <w:sz w:val="21"/>
          <w:szCs w:val="21"/>
          <w:lang w:val="en-US" w:eastAsia="zh-CN"/>
        </w:rPr>
        <w:t>乙方</w:t>
      </w:r>
      <w:r>
        <w:rPr>
          <w:rFonts w:hint="eastAsia" w:ascii="宋体" w:hAnsi="宋体" w:eastAsia="宋体" w:cs="Times New Roman"/>
          <w:kern w:val="2"/>
          <w:sz w:val="21"/>
          <w:szCs w:val="21"/>
          <w:lang w:val="en-US" w:eastAsia="zh-CN" w:bidi="ar-SA"/>
        </w:rPr>
        <w:t>如未按上述合同约定履行自己的义务，造成的一切后果由甲方承担。</w:t>
      </w:r>
    </w:p>
    <w:p w14:paraId="6B8F6BC7">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第九条 合同的变更、解除、终止</w:t>
      </w:r>
      <w:bookmarkEnd w:id="8"/>
    </w:p>
    <w:p w14:paraId="295112B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9.1 订立本合同所依据的客观情况发生重大变化，致使本合同无法履行的，经甲乙双方协商一致，本合同可以无责任解除。</w:t>
      </w:r>
    </w:p>
    <w:p w14:paraId="2C621D2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9.2 服务期限内甲方由于政策调整和甲方客观原因导致需要终止合同的，应以书面的方式通知乙方，自乙方收到书面通知之日起本合同即无责终止。 </w:t>
      </w:r>
    </w:p>
    <w:p w14:paraId="644B7BE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9.3在合同履行过程中，因甲方服务需求增加时，经甲乙双方协商同意，可以签订补充协议。 </w:t>
      </w:r>
    </w:p>
    <w:p w14:paraId="3F691B49">
      <w:pPr>
        <w:spacing w:line="360" w:lineRule="auto"/>
        <w:ind w:firstLine="420" w:firstLineChars="200"/>
        <w:outlineLvl w:val="1"/>
        <w:rPr>
          <w:rFonts w:hint="eastAsia" w:ascii="宋体" w:hAnsi="宋体" w:eastAsia="宋体" w:cs="Times New Roman"/>
          <w:b/>
          <w:bCs/>
          <w:sz w:val="21"/>
          <w:szCs w:val="21"/>
          <w:lang w:val="en-US" w:eastAsia="zh-CN"/>
        </w:rPr>
      </w:pPr>
      <w:bookmarkStart w:id="9" w:name="_Toc18593"/>
      <w:r>
        <w:rPr>
          <w:rFonts w:hint="eastAsia" w:ascii="宋体" w:hAnsi="宋体" w:eastAsia="宋体" w:cs="Times New Roman"/>
          <w:b/>
          <w:bCs/>
          <w:sz w:val="21"/>
          <w:szCs w:val="21"/>
          <w:lang w:val="en-US" w:eastAsia="zh-CN"/>
        </w:rPr>
        <w:t>第十条 争议解决</w:t>
      </w:r>
      <w:bookmarkEnd w:id="9"/>
    </w:p>
    <w:p w14:paraId="0876546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因本合同发生的纠纷，各方应本着实事求是的原则，协商解决；协商不能解决时，任何一方均可通过向</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所在地有管辖权的人民法院诉讼解决。</w:t>
      </w:r>
    </w:p>
    <w:p w14:paraId="1E7D263B">
      <w:pPr>
        <w:spacing w:line="360" w:lineRule="auto"/>
        <w:ind w:firstLine="420" w:firstLineChars="200"/>
        <w:outlineLvl w:val="1"/>
        <w:rPr>
          <w:rFonts w:hint="eastAsia" w:ascii="宋体" w:hAnsi="宋体" w:eastAsia="宋体" w:cs="Times New Roman"/>
          <w:b/>
          <w:bCs/>
          <w:sz w:val="21"/>
          <w:szCs w:val="21"/>
          <w:lang w:val="en-US" w:eastAsia="zh-CN"/>
        </w:rPr>
      </w:pPr>
      <w:bookmarkStart w:id="10" w:name="_Toc29262"/>
      <w:r>
        <w:rPr>
          <w:rFonts w:hint="eastAsia" w:ascii="宋体" w:hAnsi="宋体" w:eastAsia="宋体" w:cs="Times New Roman"/>
          <w:b/>
          <w:bCs/>
          <w:sz w:val="21"/>
          <w:szCs w:val="21"/>
          <w:lang w:val="en-US" w:eastAsia="zh-CN"/>
        </w:rPr>
        <w:t>第十一条 其他</w:t>
      </w:r>
      <w:bookmarkEnd w:id="10"/>
    </w:p>
    <w:p w14:paraId="35311E7A">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5320CD3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11.2本合同未尽事宜由甲乙双方协商解决，并可签订补充协议作为本合同的附件。</w:t>
      </w:r>
    </w:p>
    <w:p w14:paraId="7AE05A1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11.3甲乙双方有义务对本合同条款保密，以确保双方利益。</w:t>
      </w:r>
    </w:p>
    <w:p w14:paraId="718ACE28">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12.</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本合同履行过程中发送的通知、文件、资料以及法律文书，若无特殊约定，均以本合同中载明的地址为送达地址。本条款适用于司法文书送达。 </w:t>
      </w:r>
    </w:p>
    <w:p w14:paraId="3D65A1DD">
      <w:pPr>
        <w:pStyle w:val="11"/>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rPr>
      </w:pPr>
      <w:r>
        <w:rPr>
          <w:rFonts w:hint="eastAsia" w:ascii="宋体" w:hAnsi="宋体" w:eastAsia="宋体" w:cs="Times New Roman"/>
          <w:sz w:val="21"/>
          <w:szCs w:val="21"/>
          <w:lang w:val="en-US" w:eastAsia="zh-CN"/>
        </w:rPr>
        <w:t>12.</w:t>
      </w:r>
      <w:r>
        <w:rPr>
          <w:rFonts w:hint="eastAsia" w:cs="Times New Roman"/>
          <w:sz w:val="21"/>
          <w:szCs w:val="21"/>
          <w:lang w:val="en-US" w:eastAsia="zh-CN"/>
        </w:rPr>
        <w:t>5</w:t>
      </w:r>
      <w:r>
        <w:rPr>
          <w:rFonts w:hint="eastAsia" w:ascii="宋体" w:hAnsi="宋体" w:eastAsia="宋体" w:cs="Times New Roman"/>
          <w:sz w:val="21"/>
          <w:szCs w:val="21"/>
          <w:lang w:val="en-US" w:eastAsia="zh-CN"/>
        </w:rPr>
        <w:t>本合同自双方签字盖章之日起生效</w:t>
      </w:r>
      <w:r>
        <w:rPr>
          <w:rFonts w:hint="eastAsia" w:ascii="宋体" w:hAnsi="宋体" w:eastAsia="宋体" w:cs="宋体"/>
          <w:color w:val="000000"/>
          <w:spacing w:val="0"/>
          <w:w w:val="100"/>
          <w:position w:val="0"/>
          <w:sz w:val="21"/>
          <w:szCs w:val="21"/>
          <w:lang w:val="en-US" w:eastAsia="zh-CN"/>
        </w:rPr>
        <w:t>，合同一式</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份，其中甲方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份，乙方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w:t>
      </w:r>
    </w:p>
    <w:p w14:paraId="533EE45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（以下无正文）</w:t>
      </w:r>
    </w:p>
    <w:p w14:paraId="3DE1518C">
      <w:pPr>
        <w:pStyle w:val="4"/>
        <w:rPr>
          <w:rFonts w:hint="eastAsia" w:ascii="宋体" w:hAnsi="宋体" w:eastAsia="宋体" w:cs="Times New Roman"/>
          <w:sz w:val="21"/>
          <w:szCs w:val="21"/>
          <w:lang w:val="en-US" w:eastAsia="zh-CN"/>
        </w:rPr>
      </w:pPr>
    </w:p>
    <w:p w14:paraId="5DD9A1C8"/>
    <w:tbl>
      <w:tblPr>
        <w:tblStyle w:val="7"/>
        <w:tblW w:w="9286" w:type="dxa"/>
        <w:jc w:val="center"/>
        <w:tblLayout w:type="fixed"/>
        <w:tblCellMar>
          <w:top w:w="0" w:type="dxa"/>
          <w:left w:w="108" w:type="dxa"/>
          <w:bottom w:w="0" w:type="dxa"/>
          <w:right w:w="108" w:type="dxa"/>
        </w:tblCellMar>
      </w:tblPr>
      <w:tblGrid>
        <w:gridCol w:w="4643"/>
        <w:gridCol w:w="4643"/>
      </w:tblGrid>
      <w:tr w14:paraId="051F726F">
        <w:tblPrEx>
          <w:tblCellMar>
            <w:top w:w="0" w:type="dxa"/>
            <w:left w:w="108" w:type="dxa"/>
            <w:bottom w:w="0" w:type="dxa"/>
            <w:right w:w="108" w:type="dxa"/>
          </w:tblCellMar>
        </w:tblPrEx>
        <w:trPr>
          <w:jc w:val="center"/>
        </w:trPr>
        <w:tc>
          <w:tcPr>
            <w:tcW w:w="4643" w:type="dxa"/>
            <w:noWrap w:val="0"/>
            <w:vAlign w:val="top"/>
          </w:tcPr>
          <w:p w14:paraId="48337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甲方名称（盖章）:</w:t>
            </w:r>
          </w:p>
          <w:p w14:paraId="12096E0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795FE44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1F7DAA1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553F44A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7E8B3368">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c>
          <w:tcPr>
            <w:tcW w:w="4643" w:type="dxa"/>
            <w:noWrap w:val="0"/>
            <w:vAlign w:val="top"/>
          </w:tcPr>
          <w:p w14:paraId="0C62F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乙方名称（盖章）:</w:t>
            </w:r>
          </w:p>
          <w:p w14:paraId="07F1C61C">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2134A4B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764EF3A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0FA774E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47AC639D">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r>
    </w:tbl>
    <w:p w14:paraId="0E5418CF"/>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66D7F38"/>
    <w:rsid w:val="06AB707D"/>
    <w:rsid w:val="13F45F76"/>
    <w:rsid w:val="17C835C9"/>
    <w:rsid w:val="1F5D08C4"/>
    <w:rsid w:val="25F152BF"/>
    <w:rsid w:val="30AF32A8"/>
    <w:rsid w:val="31E35202"/>
    <w:rsid w:val="601577B0"/>
    <w:rsid w:val="64D22EF6"/>
    <w:rsid w:val="70A1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qFormat/>
    <w:uiPriority w:val="0"/>
    <w:pPr>
      <w:keepNext/>
      <w:keepLines/>
      <w:spacing w:before="340" w:after="330" w:line="576" w:lineRule="auto"/>
    </w:pPr>
    <w:rPr>
      <w:rFonts w:ascii="Times New Roman" w:hAnsi="Times New Roman"/>
      <w:kern w:val="44"/>
      <w:sz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1"/>
    <w:qFormat/>
    <w:uiPriority w:val="0"/>
    <w:pPr>
      <w:spacing w:after="120"/>
    </w:pPr>
    <w:rPr>
      <w:kern w:val="0"/>
      <w:sz w:val="20"/>
    </w:rPr>
  </w:style>
  <w:style w:type="paragraph" w:styleId="5">
    <w:name w:val="Body Text Indent"/>
    <w:basedOn w:val="1"/>
    <w:qFormat/>
    <w:uiPriority w:val="0"/>
    <w:pPr>
      <w:widowControl/>
      <w:ind w:firstLine="652" w:firstLineChars="233"/>
    </w:pPr>
    <w:rPr>
      <w:kern w:val="0"/>
      <w:sz w:val="28"/>
    </w:rPr>
  </w:style>
  <w:style w:type="paragraph" w:styleId="6">
    <w:name w:val="Body Text First Indent 2"/>
    <w:basedOn w:val="5"/>
    <w:qFormat/>
    <w:uiPriority w:val="0"/>
    <w:pPr>
      <w:ind w:firstLine="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1">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1884</Words>
  <Characters>1979</Characters>
  <Lines>0</Lines>
  <Paragraphs>0</Paragraphs>
  <TotalTime>0</TotalTime>
  <ScaleCrop>false</ScaleCrop>
  <LinksUpToDate>false</LinksUpToDate>
  <CharactersWithSpaces>2463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2025-09-17T06:29:27Z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eyJoZGlkIjoiZjk2ODgzNWMwYzFhNTg2ZjliNWNlOTYxNTE0MDFmYmUiLCJ1c2VySWQiOiI1MTU3MTc1NTAifQ==</vt:lpwstr>
  </property>
</Properties>
</file>