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版本号：CGZC-2025-12420250923001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双寨村、杏元村（GW1-22-17地块）垃圾清运项目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CGZC-2025-124</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双寨村、杏元村（GW1-22-17地块）垃圾清运项目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双寨村、杏元村（GW1-22-17地块）垃圾清运项目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采购双寨村、杏元村GW1-22-17地块垃圾清运。主要内容包括垃圾清运22000m³；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采购包1（双寨村、杏元村GW1-22-17地块垃圾清运项目）：属于专门面向中小企业采购。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2、法定代表人授权书及被授权人身份证：法定代表人授权书、被授权人身份证及授权代表在本单位的社保缴纳证明（法定代表人直接参与，只须提交其身份证明）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8、供应商资质：供应商具备建设行政主管部门颁发的建筑工程施工总承包三级（含）及以上资质，且具有有效的安全生产许可证</w:t>
      </w:r>
    </w:p>
    <w:p>
      <w:pPr>
        <w:pStyle w:val="null3"/>
      </w:pPr>
      <w:r>
        <w:rPr>
          <w:rFonts w:ascii="仿宋_GB2312" w:hAnsi="仿宋_GB2312" w:cs="仿宋_GB2312" w:eastAsia="仿宋_GB2312"/>
        </w:rPr>
        <w:t>9、项目经理资质：项目经理须具备建筑工程专业二级（含）及以上注册建造师证书和有效的安全生产考核合格证（建安B证），且未担任其他在建工程项目（提供承诺书）</w:t>
      </w:r>
    </w:p>
    <w:p>
      <w:pPr>
        <w:pStyle w:val="null3"/>
      </w:pPr>
      <w:r>
        <w:rPr>
          <w:rFonts w:ascii="仿宋_GB2312" w:hAnsi="仿宋_GB2312" w:cs="仿宋_GB2312" w:eastAsia="仿宋_GB2312"/>
        </w:rPr>
        <w:t>10、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11、非联合体承诺书：本项目不接受联合体投标（提供非联合体承诺书）</w:t>
      </w:r>
    </w:p>
    <w:p>
      <w:pPr>
        <w:pStyle w:val="null3"/>
      </w:pPr>
      <w:r>
        <w:rPr>
          <w:rFonts w:ascii="仿宋_GB2312" w:hAnsi="仿宋_GB2312" w:cs="仿宋_GB2312" w:eastAsia="仿宋_GB2312"/>
        </w:rPr>
        <w:t>12、供应商企业关系关联承诺书：单位负责人为同一人或者存在控股、管理关系的不同单位不得同时投标（提供供应商企业关系关联承诺书）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13、中小企业声明函：中小企业声明函（本项目专门面向中小企业采购，非中小企业单位（监狱企业、残疾人福利单位除外）不得参与）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029-83346950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垃圾清运</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一、技术、服务标准和要求：</w:t>
            </w:r>
          </w:p>
          <w:p>
            <w:pPr>
              <w:pStyle w:val="null3"/>
              <w:ind w:firstLine="482"/>
              <w:jc w:val="both"/>
            </w:pPr>
            <w:r>
              <w:rPr>
                <w:rFonts w:ascii="仿宋_GB2312" w:hAnsi="仿宋_GB2312" w:cs="仿宋_GB2312" w:eastAsia="仿宋_GB2312"/>
                <w:b/>
              </w:rPr>
              <w:t>（</w:t>
            </w: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概况及实施范围</w:t>
            </w:r>
          </w:p>
          <w:p>
            <w:pPr>
              <w:pStyle w:val="null3"/>
              <w:jc w:val="both"/>
            </w:pPr>
            <w:r>
              <w:rPr>
                <w:rFonts w:ascii="仿宋_GB2312" w:hAnsi="仿宋_GB2312" w:cs="仿宋_GB2312" w:eastAsia="仿宋_GB2312"/>
              </w:rPr>
              <w:t>1、工程名称：</w:t>
            </w:r>
            <w:r>
              <w:rPr>
                <w:rFonts w:ascii="仿宋_GB2312" w:hAnsi="仿宋_GB2312" w:cs="仿宋_GB2312" w:eastAsia="仿宋_GB2312"/>
              </w:rPr>
              <w:t>双寨村、杏元村</w:t>
            </w:r>
            <w:r>
              <w:rPr>
                <w:rFonts w:ascii="仿宋_GB2312" w:hAnsi="仿宋_GB2312" w:cs="仿宋_GB2312" w:eastAsia="仿宋_GB2312"/>
              </w:rPr>
              <w:t>GW1-22-17地块垃圾清运项目</w:t>
            </w:r>
            <w:r>
              <w:rPr>
                <w:rFonts w:ascii="仿宋_GB2312" w:hAnsi="仿宋_GB2312" w:cs="仿宋_GB2312" w:eastAsia="仿宋_GB2312"/>
              </w:rPr>
              <w:t>；</w:t>
            </w:r>
          </w:p>
          <w:p>
            <w:pPr>
              <w:pStyle w:val="null3"/>
            </w:pPr>
            <w:r>
              <w:rPr>
                <w:rFonts w:ascii="仿宋_GB2312" w:hAnsi="仿宋_GB2312" w:cs="仿宋_GB2312" w:eastAsia="仿宋_GB2312"/>
              </w:rPr>
              <w:t>2、工程内容：采购</w:t>
            </w:r>
            <w:r>
              <w:rPr>
                <w:rFonts w:ascii="仿宋_GB2312" w:hAnsi="仿宋_GB2312" w:cs="仿宋_GB2312" w:eastAsia="仿宋_GB2312"/>
              </w:rPr>
              <w:t>双寨村、杏元村</w:t>
            </w:r>
            <w:r>
              <w:rPr>
                <w:rFonts w:ascii="仿宋_GB2312" w:hAnsi="仿宋_GB2312" w:cs="仿宋_GB2312" w:eastAsia="仿宋_GB2312"/>
              </w:rPr>
              <w:t>GW1-22-17地块垃圾清运</w:t>
            </w:r>
            <w:r>
              <w:rPr>
                <w:rFonts w:ascii="仿宋_GB2312" w:hAnsi="仿宋_GB2312" w:cs="仿宋_GB2312" w:eastAsia="仿宋_GB2312"/>
              </w:rPr>
              <w:t>。主要内容包括垃圾清运</w:t>
            </w:r>
            <w:r>
              <w:rPr>
                <w:rFonts w:ascii="仿宋_GB2312" w:hAnsi="仿宋_GB2312" w:cs="仿宋_GB2312" w:eastAsia="仿宋_GB2312"/>
              </w:rPr>
              <w:t>22000</w:t>
            </w:r>
            <w:r>
              <w:rPr>
                <w:rFonts w:ascii="仿宋_GB2312" w:hAnsi="仿宋_GB2312" w:cs="仿宋_GB2312" w:eastAsia="仿宋_GB2312"/>
              </w:rPr>
              <w:t>m³；</w:t>
            </w:r>
          </w:p>
          <w:p>
            <w:pPr>
              <w:pStyle w:val="null3"/>
              <w:jc w:val="left"/>
            </w:pPr>
            <w:r>
              <w:rPr>
                <w:rFonts w:ascii="仿宋_GB2312" w:hAnsi="仿宋_GB2312" w:cs="仿宋_GB2312" w:eastAsia="仿宋_GB2312"/>
              </w:rPr>
              <w:t>3、工期：</w:t>
            </w:r>
            <w:r>
              <w:rPr>
                <w:rFonts w:ascii="仿宋_GB2312" w:hAnsi="仿宋_GB2312" w:cs="仿宋_GB2312" w:eastAsia="仿宋_GB2312"/>
              </w:rPr>
              <w:t>自合同签订之日起</w:t>
            </w:r>
            <w:r>
              <w:rPr>
                <w:rFonts w:ascii="仿宋_GB2312" w:hAnsi="仿宋_GB2312" w:cs="仿宋_GB2312" w:eastAsia="仿宋_GB2312"/>
              </w:rPr>
              <w:t>30天</w:t>
            </w:r>
            <w:r>
              <w:rPr>
                <w:rFonts w:ascii="仿宋_GB2312" w:hAnsi="仿宋_GB2312" w:cs="仿宋_GB2312" w:eastAsia="仿宋_GB2312"/>
              </w:rPr>
              <w:t>。</w:t>
            </w:r>
          </w:p>
          <w:p>
            <w:pPr>
              <w:pStyle w:val="null3"/>
              <w:ind w:firstLine="723"/>
              <w:jc w:val="left"/>
            </w:pPr>
            <w:r>
              <w:rPr>
                <w:rFonts w:ascii="仿宋_GB2312" w:hAnsi="仿宋_GB2312" w:cs="仿宋_GB2312" w:eastAsia="仿宋_GB2312"/>
                <w:b/>
              </w:rPr>
              <w:t>（</w:t>
            </w:r>
            <w:r>
              <w:rPr>
                <w:rFonts w:ascii="仿宋_GB2312" w:hAnsi="仿宋_GB2312" w:cs="仿宋_GB2312" w:eastAsia="仿宋_GB2312"/>
                <w:b/>
              </w:rPr>
              <w:t>二</w:t>
            </w:r>
            <w:r>
              <w:rPr>
                <w:rFonts w:ascii="仿宋_GB2312" w:hAnsi="仿宋_GB2312" w:cs="仿宋_GB2312" w:eastAsia="仿宋_GB2312"/>
                <w:b/>
              </w:rPr>
              <w:t>）</w:t>
            </w:r>
            <w:r>
              <w:rPr>
                <w:rFonts w:ascii="仿宋_GB2312" w:hAnsi="仿宋_GB2312" w:cs="仿宋_GB2312" w:eastAsia="仿宋_GB2312"/>
                <w:b/>
              </w:rPr>
              <w:t>执行的法律法规、技术规范</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执行的法律法规、技术规范包括但不限于以下规定、规范、标准：</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中华人民共和国安全生产法</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《建设工程安全生产管理条例》</w:t>
            </w:r>
          </w:p>
          <w:p>
            <w:pPr>
              <w:pStyle w:val="null3"/>
              <w:ind w:firstLine="480"/>
              <w:jc w:val="both"/>
            </w:pPr>
            <w:r>
              <w:rPr>
                <w:rFonts w:ascii="仿宋_GB2312" w:hAnsi="仿宋_GB2312" w:cs="仿宋_GB2312" w:eastAsia="仿宋_GB2312"/>
              </w:rPr>
              <w:t>《西安市扬尘污染防治条例》</w:t>
            </w:r>
          </w:p>
          <w:p>
            <w:pPr>
              <w:pStyle w:val="null3"/>
              <w:ind w:firstLine="480"/>
              <w:jc w:val="both"/>
            </w:pPr>
            <w:r>
              <w:rPr>
                <w:rFonts w:ascii="仿宋_GB2312" w:hAnsi="仿宋_GB2312" w:cs="仿宋_GB2312" w:eastAsia="仿宋_GB2312"/>
              </w:rPr>
              <w:t>《西安市城市房屋拆迁管理办法》</w:t>
            </w:r>
          </w:p>
          <w:p>
            <w:pPr>
              <w:pStyle w:val="null3"/>
              <w:ind w:firstLine="480"/>
              <w:jc w:val="both"/>
            </w:pPr>
            <w:r>
              <w:rPr>
                <w:rFonts w:ascii="仿宋_GB2312" w:hAnsi="仿宋_GB2312" w:cs="仿宋_GB2312" w:eastAsia="仿宋_GB2312"/>
              </w:rPr>
              <w:t>《西安市建筑垃圾管理条例》</w:t>
            </w:r>
          </w:p>
          <w:p>
            <w:pPr>
              <w:pStyle w:val="null3"/>
              <w:ind w:firstLine="480"/>
              <w:jc w:val="both"/>
            </w:pPr>
            <w:r>
              <w:rPr>
                <w:rFonts w:ascii="仿宋_GB2312" w:hAnsi="仿宋_GB2312" w:cs="仿宋_GB2312" w:eastAsia="仿宋_GB2312"/>
              </w:rPr>
              <w:t>如有最新的法律法规、技术规范发布，按最新的文件执行。</w:t>
            </w:r>
          </w:p>
          <w:p>
            <w:pPr>
              <w:pStyle w:val="null3"/>
              <w:ind w:firstLine="480"/>
              <w:jc w:val="both"/>
            </w:pPr>
            <w:r>
              <w:rPr>
                <w:rFonts w:ascii="仿宋_GB2312" w:hAnsi="仿宋_GB2312" w:cs="仿宋_GB2312" w:eastAsia="仿宋_GB2312"/>
              </w:rPr>
              <w:t>2、服务要求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项目范围内全部采用湿法作业、现场无扬尘。</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按城市管理部门要求安装联网监控和空气检测装置等，确保设备正常使用。</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清运中不能超载，做好蓬盖，落实好安全文明生产及治污减霾工作。</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4）建筑垃圾要清运至正规建筑垃圾消纳场、回填点或项目工地等，不扬尘、不撒漏、不随意倾倒垃圾，必须按有关规定及要求做好防尘降噪措施。</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5）项目在垃圾清运过程中，应采取围挡及覆盖的方式满足治污减霾工作要求。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施工单位负责协调村内及周边关系。</w:t>
            </w:r>
          </w:p>
          <w:p>
            <w:pPr>
              <w:pStyle w:val="null3"/>
              <w:ind w:firstLine="482"/>
              <w:jc w:val="left"/>
            </w:pPr>
            <w:r>
              <w:rPr>
                <w:rFonts w:ascii="仿宋_GB2312" w:hAnsi="仿宋_GB2312" w:cs="仿宋_GB2312" w:eastAsia="仿宋_GB2312"/>
                <w:b/>
              </w:rPr>
              <w:t>（</w:t>
            </w:r>
            <w:r>
              <w:rPr>
                <w:rFonts w:ascii="仿宋_GB2312" w:hAnsi="仿宋_GB2312" w:cs="仿宋_GB2312" w:eastAsia="仿宋_GB2312"/>
                <w:b/>
              </w:rPr>
              <w:t>三</w:t>
            </w:r>
            <w:r>
              <w:rPr>
                <w:rFonts w:ascii="仿宋_GB2312" w:hAnsi="仿宋_GB2312" w:cs="仿宋_GB2312" w:eastAsia="仿宋_GB2312"/>
                <w:b/>
              </w:rPr>
              <w:t>）</w:t>
            </w:r>
            <w:r>
              <w:rPr>
                <w:rFonts w:ascii="仿宋_GB2312" w:hAnsi="仿宋_GB2312" w:cs="仿宋_GB2312" w:eastAsia="仿宋_GB2312"/>
                <w:b/>
              </w:rPr>
              <w:t>工程量清单</w:t>
            </w:r>
          </w:p>
          <w:tbl>
            <w:tblPr>
              <w:tblBorders>
                <w:top w:val="none" w:color="000000" w:sz="4"/>
                <w:left w:val="none" w:color="000000" w:sz="4"/>
                <w:bottom w:val="none" w:color="000000" w:sz="4"/>
                <w:right w:val="none" w:color="000000" w:sz="4"/>
                <w:insideH w:val="none"/>
                <w:insideV w:val="none"/>
              </w:tblBorders>
            </w:tblPr>
            <w:tblGrid>
              <w:gridCol w:w="352"/>
              <w:gridCol w:w="705"/>
              <w:gridCol w:w="447"/>
              <w:gridCol w:w="610"/>
              <w:gridCol w:w="438"/>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清单项目</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工程量</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最高含税完全综合单价限价</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垃圾清运</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m³</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100元/m³</w:t>
                  </w:r>
                </w:p>
              </w:tc>
            </w:tr>
          </w:tbl>
          <w:p>
            <w:pPr>
              <w:pStyle w:val="null3"/>
              <w:jc w:val="both"/>
            </w:pPr>
            <w:r>
              <w:rPr>
                <w:rFonts w:ascii="仿宋_GB2312" w:hAnsi="仿宋_GB2312" w:cs="仿宋_GB2312" w:eastAsia="仿宋_GB2312"/>
                <w:b/>
              </w:rPr>
              <w:t>注：</w:t>
            </w:r>
            <w:r>
              <w:rPr>
                <w:rFonts w:ascii="仿宋_GB2312" w:hAnsi="仿宋_GB2312" w:cs="仿宋_GB2312" w:eastAsia="仿宋_GB2312"/>
                <w:b/>
              </w:rPr>
              <w:t>1、本工程量为拟定数量，最终以实际工程量为准结算；</w:t>
            </w:r>
          </w:p>
          <w:p>
            <w:pPr>
              <w:pStyle w:val="null3"/>
              <w:ind w:firstLine="402"/>
              <w:jc w:val="both"/>
            </w:pPr>
            <w:r>
              <w:rPr>
                <w:rFonts w:ascii="仿宋_GB2312" w:hAnsi="仿宋_GB2312" w:cs="仿宋_GB2312" w:eastAsia="仿宋_GB2312"/>
                <w:b/>
              </w:rPr>
              <w:t>2、</w:t>
            </w:r>
            <w:r>
              <w:rPr>
                <w:rFonts w:ascii="仿宋_GB2312" w:hAnsi="仿宋_GB2312" w:cs="仿宋_GB2312" w:eastAsia="仿宋_GB2312"/>
                <w:b/>
              </w:rPr>
              <w:t>本项目结算金额的总计高于预算金额时以本项目预算金额作为结算金额。结算金额低于预算金额时据实结算。</w:t>
            </w:r>
          </w:p>
          <w:p>
            <w:pPr>
              <w:pStyle w:val="null3"/>
              <w:jc w:val="both"/>
            </w:pPr>
            <w:r>
              <w:rPr>
                <w:rFonts w:ascii="仿宋_GB2312" w:hAnsi="仿宋_GB2312" w:cs="仿宋_GB2312" w:eastAsia="仿宋_GB2312"/>
                <w:b/>
              </w:rPr>
              <w:t>（四）</w:t>
            </w:r>
            <w:r>
              <w:rPr>
                <w:rFonts w:ascii="仿宋_GB2312" w:hAnsi="仿宋_GB2312" w:cs="仿宋_GB2312" w:eastAsia="仿宋_GB2312"/>
                <w:b/>
              </w:rPr>
              <w:t>施工要求</w:t>
            </w:r>
          </w:p>
          <w:p>
            <w:pPr>
              <w:pStyle w:val="null3"/>
              <w:jc w:val="both"/>
            </w:pPr>
            <w:r>
              <w:rPr>
                <w:rFonts w:ascii="仿宋_GB2312" w:hAnsi="仿宋_GB2312" w:cs="仿宋_GB2312" w:eastAsia="仿宋_GB2312"/>
              </w:rPr>
              <w:t>在施工期间，成交供应商必须严格按照治污减霾相关要求施工，并加强安全措施，并对施工人员进行安全教育，施工人员必须持证上岗。</w:t>
            </w:r>
          </w:p>
          <w:p>
            <w:pPr>
              <w:pStyle w:val="null3"/>
              <w:jc w:val="both"/>
            </w:pPr>
            <w:r>
              <w:rPr>
                <w:rFonts w:ascii="仿宋_GB2312" w:hAnsi="仿宋_GB2312" w:cs="仿宋_GB2312" w:eastAsia="仿宋_GB2312"/>
                <w:b/>
              </w:rPr>
              <w:t>二、</w:t>
            </w:r>
            <w:r>
              <w:rPr>
                <w:rFonts w:ascii="仿宋_GB2312" w:hAnsi="仿宋_GB2312" w:cs="仿宋_GB2312" w:eastAsia="仿宋_GB2312"/>
                <w:b/>
              </w:rPr>
              <w:t>商务</w:t>
            </w:r>
            <w:r>
              <w:rPr>
                <w:rFonts w:ascii="仿宋_GB2312" w:hAnsi="仿宋_GB2312" w:cs="仿宋_GB2312" w:eastAsia="仿宋_GB2312"/>
                <w:b/>
              </w:rPr>
              <w:t>及其他要求</w:t>
            </w:r>
          </w:p>
          <w:p>
            <w:pPr>
              <w:pStyle w:val="null3"/>
              <w:ind w:firstLine="480"/>
            </w:pPr>
            <w:r>
              <w:rPr>
                <w:rFonts w:ascii="仿宋_GB2312" w:hAnsi="仿宋_GB2312" w:cs="仿宋_GB2312" w:eastAsia="仿宋_GB2312"/>
              </w:rPr>
              <w:t>1、项目地点：采购人指定地点。</w:t>
            </w:r>
          </w:p>
          <w:p>
            <w:pPr>
              <w:pStyle w:val="null3"/>
              <w:ind w:firstLine="480"/>
            </w:pPr>
            <w:r>
              <w:rPr>
                <w:rFonts w:ascii="仿宋_GB2312" w:hAnsi="仿宋_GB2312" w:cs="仿宋_GB2312" w:eastAsia="仿宋_GB2312"/>
              </w:rPr>
              <w:t>2</w:t>
            </w:r>
            <w:r>
              <w:rPr>
                <w:rFonts w:ascii="仿宋_GB2312" w:hAnsi="仿宋_GB2312" w:cs="仿宋_GB2312" w:eastAsia="仿宋_GB2312"/>
              </w:rPr>
              <w:t>、项目工期：自合同签订之日起</w:t>
            </w:r>
            <w:r>
              <w:rPr>
                <w:rFonts w:ascii="仿宋_GB2312" w:hAnsi="仿宋_GB2312" w:cs="仿宋_GB2312" w:eastAsia="仿宋_GB2312"/>
              </w:rPr>
              <w:t>30天</w:t>
            </w:r>
            <w:r>
              <w:rPr>
                <w:rFonts w:ascii="仿宋_GB2312" w:hAnsi="仿宋_GB2312" w:cs="仿宋_GB2312" w:eastAsia="仿宋_GB2312"/>
              </w:rPr>
              <w:t>。</w:t>
            </w:r>
          </w:p>
          <w:p>
            <w:pPr>
              <w:pStyle w:val="null3"/>
              <w:ind w:firstLine="480"/>
            </w:pPr>
            <w:r>
              <w:rPr>
                <w:rFonts w:ascii="仿宋_GB2312" w:hAnsi="仿宋_GB2312" w:cs="仿宋_GB2312" w:eastAsia="仿宋_GB2312"/>
              </w:rPr>
              <w:t>3</w:t>
            </w:r>
            <w:r>
              <w:rPr>
                <w:rFonts w:ascii="仿宋_GB2312" w:hAnsi="仿宋_GB2312" w:cs="仿宋_GB2312" w:eastAsia="仿宋_GB2312"/>
              </w:rPr>
              <w:t>、质量目标：合格（符合国家有关规范和相关政策）。</w:t>
            </w:r>
          </w:p>
          <w:p>
            <w:pPr>
              <w:pStyle w:val="null3"/>
              <w:ind w:firstLine="480"/>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垃圾清运付款</w:t>
            </w:r>
            <w:r>
              <w:rPr>
                <w:rFonts w:ascii="仿宋_GB2312" w:hAnsi="仿宋_GB2312" w:cs="仿宋_GB2312" w:eastAsia="仿宋_GB2312"/>
              </w:rPr>
              <w:t>：工程竣工后并经项目组织实施方现场验收合格，根据实际工程量结算，结算后一次性支付全部结算总价款。注：乙方提供收款账户，见票付款。</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、验收标准：必须严格按照有关施工和验收规范进行施工，符合施工质量验收标准以及国家、省、市、行业及地方标准等相关规范要求。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《中华人民共和国安全生产法》 《建设工程安全生产管理条例》 《西安市扬尘污染防治条例》 《西安市房屋拆迁管理办法》《西安市建筑垃圾管理条例》 执行的法律法规、技术规范包括但不限于以上规定、规范、标准；如有最新的法律法规、技术规范发布，按最新的文件执行。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 2、按城市管理部门要求安装联网监控和空气检测装置等，确保设备正常使用。 3、施工单位负责协调村内及周边关系。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3.3.1、垃圾清运付款：工程竣工后并经项目组织实施方现场验收合格，根据实际工程量结算，结算后一次性支付全部结算总价款。 3.3.2、付款依据：成交供应商提供等额发票、甲方出具的验收报告。 3.3.3、项目磋商报价为完成本项目磋商文件中所提出的工作范围及要求的全部内容，并达到国家及采购人验收标准而产生的所有费用，磋商报价包括但不限于以下内容：施工款项、安全生产费、文明施工费、协调费、市场价格涨幅费(含人工、机械、燃油等) 及各项管理费、利润、风险、税金、垃圾排放费、工程保险费、措施费、验收等完成本项目内容所产生的一切费用。任何错报、漏报由供应商自行负责。 3.3.4、本项目专门面向中小企业，供应商应为中型、小型、微型企业或监狱企业或残疾人福利性单位。本项目所属行业：建筑业（根据《工业和信息化部、国家统计局、国家发展和改革委员会、财政部关于印发中小企业划型标准规定的通知》（工信部联企业〔2011〕300 号）规定的划分标准，（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六、供应商资格证明文件.docx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六、供应商资格证明文件.docx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法定代表人授权书、被授权人身份证及授权代表在本单位的社保缴纳证明（法定代表人直接参与，只须提交其身份证明）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供应商具备建设行政主管部门颁发的建筑工程施工总承包三级（含）及以上资质，且具有有效的安全生产许可证</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项目经理须具备建筑工程专业二级（含）及以上注册建造师证书和有效的安全生产考核合格证（建安B证），且未担任其他在建工程项目（提供承诺书）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中小企业声明函（本项目专门面向中小企业采购，非中小企业单位（监狱企业、残疾人福利单位除外）不得参与）</w:t>
            </w:r>
          </w:p>
        </w:tc>
        <w:tc>
          <w:tcPr>
            <w:tcW w:type="dxa" w:w="1661"/>
          </w:tcPr>
          <w:p>
            <w:pPr>
              <w:pStyle w:val="null3"/>
            </w:pPr>
            <w:r>
              <w:rPr>
                <w:rFonts w:ascii="仿宋_GB2312" w:hAnsi="仿宋_GB2312" w:cs="仿宋_GB2312" w:eastAsia="仿宋_GB2312"/>
              </w:rPr>
              <w:t>六、供应商资格证明文件.docx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供应商名称与获取磋商文件的单位名称是否一致的</w:t>
            </w:r>
          </w:p>
        </w:tc>
        <w:tc>
          <w:tcPr>
            <w:tcW w:type="dxa" w:w="3322"/>
          </w:tcPr>
          <w:p>
            <w:pPr>
              <w:pStyle w:val="null3"/>
            </w:pPr>
            <w:r>
              <w:rPr>
                <w:rFonts w:ascii="仿宋_GB2312" w:hAnsi="仿宋_GB2312" w:cs="仿宋_GB2312" w:eastAsia="仿宋_GB2312"/>
              </w:rPr>
              <w:t>供应商名称与获取磋商文件的单位名称一致</w:t>
            </w:r>
          </w:p>
        </w:tc>
        <w:tc>
          <w:tcPr>
            <w:tcW w:type="dxa" w:w="1661"/>
          </w:tcPr>
          <w:p>
            <w:pPr>
              <w:pStyle w:val="null3"/>
            </w:pPr>
            <w:r>
              <w:rPr>
                <w:rFonts w:ascii="仿宋_GB2312" w:hAnsi="仿宋_GB2312" w:cs="仿宋_GB2312" w:eastAsia="仿宋_GB2312"/>
              </w:rPr>
              <w:t>响应文件封面 一、磋商响应函.docx 二、第一次磋商报价表.docx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磋商响应文件是否按照磋商文件规定要求签署、盖章的</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已标价工程量清单 一、磋商响应函.docx 二、第一次磋商报价表.docx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响应有效期是否满足的</w:t>
            </w:r>
          </w:p>
        </w:tc>
        <w:tc>
          <w:tcPr>
            <w:tcW w:type="dxa" w:w="3322"/>
          </w:tcPr>
          <w:p>
            <w:pPr>
              <w:pStyle w:val="null3"/>
            </w:pPr>
            <w:r>
              <w:rPr>
                <w:rFonts w:ascii="仿宋_GB2312" w:hAnsi="仿宋_GB2312" w:cs="仿宋_GB2312" w:eastAsia="仿宋_GB2312"/>
              </w:rPr>
              <w:t>响应有效期满足竞争性磋商文件要求</w:t>
            </w:r>
          </w:p>
        </w:tc>
        <w:tc>
          <w:tcPr>
            <w:tcW w:type="dxa" w:w="1661"/>
          </w:tcPr>
          <w:p>
            <w:pPr>
              <w:pStyle w:val="null3"/>
            </w:pPr>
            <w:r>
              <w:rPr>
                <w:rFonts w:ascii="仿宋_GB2312" w:hAnsi="仿宋_GB2312" w:cs="仿宋_GB2312" w:eastAsia="仿宋_GB2312"/>
              </w:rPr>
              <w:t>响应文件封面 一、磋商响应函.docx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已标价工程量清单 一、磋商响应函.docx 二、第一次磋商报价表.docx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五、商务偏离表.docx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提供2022年1月以来类似项目业绩合同(以合同签订日期为准)，每份计1分，满分3分。（注：以上证明文件在磋商响应文件中附业绩合同扫描件并加盖公司公章。）未提供不得分。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本项目实施方案，方案总体思路清晰、合理、可操作性强、可执行程度强，且能很好推动项目，得7～10（含）分；方案总体思路较为清晰、合理、可操作性较强、可执行程度较强，得4～7（含）分；方案内容一般，得0～4（含）分，本项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7（含）分，人员搭配较为合理，数量较充足，经验不足，证明材料不够详尽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施工机械及工器具的配备情况，机械、设备安排合理、完整计4～7（含）分，机械、设备安排简单计0～4（含）分，本项满分7分；未提供不得分。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针对本项目的应急预案措施</w:t>
            </w:r>
          </w:p>
        </w:tc>
        <w:tc>
          <w:tcPr>
            <w:tcW w:type="dxa" w:w="2492"/>
          </w:tcPr>
          <w:p>
            <w:pPr>
              <w:pStyle w:val="null3"/>
            </w:pPr>
            <w:r>
              <w:rPr>
                <w:rFonts w:ascii="仿宋_GB2312" w:hAnsi="仿宋_GB2312" w:cs="仿宋_GB2312" w:eastAsia="仿宋_GB2312"/>
              </w:rPr>
              <w:t>针对本项目的应急预案措施，措施内容科学可行，有针对性，得0～4（含）分；未提供不得分。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拟投入车辆配备情况</w:t>
            </w:r>
          </w:p>
        </w:tc>
        <w:tc>
          <w:tcPr>
            <w:tcW w:type="dxa" w:w="2492"/>
          </w:tcPr>
          <w:p>
            <w:pPr>
              <w:pStyle w:val="null3"/>
            </w:pPr>
            <w:r>
              <w:rPr>
                <w:rFonts w:ascii="仿宋_GB2312" w:hAnsi="仿宋_GB2312" w:cs="仿宋_GB2312" w:eastAsia="仿宋_GB2312"/>
              </w:rPr>
              <w:t>拟投入车辆配备情况，车辆数量充足、车况好、使用年限短计4～7（含）分，车辆数量基本满足、车况一般、使用年限长计0～4（含）分，本项满分7分；未提供不得分。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项目周边关系协调方案</w:t>
            </w:r>
          </w:p>
        </w:tc>
        <w:tc>
          <w:tcPr>
            <w:tcW w:type="dxa" w:w="2492"/>
          </w:tcPr>
          <w:p>
            <w:pPr>
              <w:pStyle w:val="null3"/>
            </w:pPr>
            <w:r>
              <w:rPr>
                <w:rFonts w:ascii="仿宋_GB2312" w:hAnsi="仿宋_GB2312" w:cs="仿宋_GB2312" w:eastAsia="仿宋_GB2312"/>
              </w:rPr>
              <w:t>项目周边关系协调方案，包括协调项目当地及周边关系承诺及安全无重大伤亡、清运相关手续作出响应承诺等内容，方案合理、可行性高，对项目推进作用强得0～4（含）分。未提供不得分。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满足竞争性磋商文件要求且最低的磋商报价为评审基准价，其价格分为满分。各供应商的报价得分按下列公式计算： 报价得分=（基准价/磋商报价）×30×100％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详见附件：二、第一次磋商报价表.docx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详见附件：四、磋商方案说明.docx</w:t>
      </w:r>
    </w:p>
    <w:p>
      <w:pPr>
        <w:pStyle w:val="null3"/>
        <w:ind w:firstLine="960"/>
      </w:pPr>
      <w:r>
        <w:rPr>
          <w:rFonts w:ascii="仿宋_GB2312" w:hAnsi="仿宋_GB2312" w:cs="仿宋_GB2312" w:eastAsia="仿宋_GB2312"/>
        </w:rPr>
        <w:t>详见附件：五、商务偏离表.docx</w:t>
      </w:r>
    </w:p>
    <w:p>
      <w:pPr>
        <w:pStyle w:val="null3"/>
        <w:ind w:firstLine="960"/>
      </w:pPr>
      <w:r>
        <w:rPr>
          <w:rFonts w:ascii="仿宋_GB2312" w:hAnsi="仿宋_GB2312" w:cs="仿宋_GB2312" w:eastAsia="仿宋_GB2312"/>
        </w:rPr>
        <w:t>详见附件：六、供应商资格证明文件.docx</w:t>
      </w:r>
    </w:p>
    <w:p>
      <w:pPr>
        <w:pStyle w:val="null3"/>
        <w:ind w:firstLine="960"/>
      </w:pPr>
      <w:r>
        <w:rPr>
          <w:rFonts w:ascii="仿宋_GB2312" w:hAnsi="仿宋_GB2312" w:cs="仿宋_GB2312" w:eastAsia="仿宋_GB2312"/>
        </w:rPr>
        <w:t>详见附件：七、其他资料.docx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