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版本号：CGZC-2025-194、XACH2025-13420250929001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新合街办秦汉雅苑图纸分房项目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CGZC-2025-194、XACH2025-134</w:t>
      </w:r>
      <w:r>
        <w:br/>
      </w:r>
      <w:r>
        <w:br/>
      </w:r>
      <w:r>
        <w:br/>
      </w:r>
    </w:p>
    <w:p>
      <w:pPr>
        <w:pStyle w:val="null3"/>
        <w:jc w:val="center"/>
        <w:outlineLvl w:val="2"/>
      </w:pPr>
      <w:r>
        <w:rPr>
          <w:rFonts w:ascii="仿宋_GB2312" w:hAnsi="仿宋_GB2312" w:cs="仿宋_GB2312" w:eastAsia="仿宋_GB2312"/>
          <w:sz w:val="28"/>
          <w:b/>
        </w:rPr>
        <w:t>新合街道办事处</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新合街道办事处</w:t>
      </w:r>
      <w:r>
        <w:rPr>
          <w:rFonts w:ascii="仿宋_GB2312" w:hAnsi="仿宋_GB2312" w:cs="仿宋_GB2312" w:eastAsia="仿宋_GB2312"/>
        </w:rPr>
        <w:t>委托，拟对</w:t>
      </w:r>
      <w:r>
        <w:rPr>
          <w:rFonts w:ascii="仿宋_GB2312" w:hAnsi="仿宋_GB2312" w:cs="仿宋_GB2312" w:eastAsia="仿宋_GB2312"/>
        </w:rPr>
        <w:t>新合街办秦汉雅苑图纸分房项目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CGZC-2025-194、XACH2025-134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新合街办秦汉雅苑图纸分房项目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主要服务内容为约365户搬迁安置群众提供分房服务，包含现场布置、宣传、方案策划及执行等相关内容。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采购包1（新合街办秦汉雅苑图纸分房项目）：属于专门面向中小企业采购。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西安浐灞国际港新合街道24号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029-83416108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齐莎莎、单云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新合街道办事处</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新合街道办事处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选房工作应遵循国家相关政策、法律法规，不得发生违章、违规事件，不能因行为不当引起村民的纠纷投诉。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联系电话：029-87563729、029-82286063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主要服务内容为约365户搬迁安置群众提供分房服务，包含现场布置、宣传、方案策划及执行等相关内容。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876,000.00</w:t>
      </w:r>
    </w:p>
    <w:p>
      <w:pPr>
        <w:pStyle w:val="null3"/>
      </w:pPr>
      <w:r>
        <w:rPr>
          <w:rFonts w:ascii="仿宋_GB2312" w:hAnsi="仿宋_GB2312" w:cs="仿宋_GB2312" w:eastAsia="仿宋_GB2312"/>
        </w:rPr>
        <w:t>采购包最高限价（元）: 876,000.00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新合街办秦汉雅苑图纸分房项目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标的名称：新合街办秦汉雅苑图纸分房项目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sz w:val="28"/>
                <w:b/>
              </w:rPr>
              <w:t>一、项目概况</w:t>
            </w:r>
          </w:p>
          <w:p>
            <w:pPr>
              <w:pStyle w:val="null3"/>
              <w:ind w:firstLine="560"/>
            </w:pPr>
            <w:r>
              <w:rPr>
                <w:rFonts w:ascii="仿宋_GB2312" w:hAnsi="仿宋_GB2312" w:cs="仿宋_GB2312" w:eastAsia="仿宋_GB2312"/>
                <w:sz w:val="28"/>
              </w:rPr>
              <w:t>1.</w:t>
            </w:r>
            <w:r>
              <w:rPr>
                <w:rFonts w:ascii="仿宋_GB2312" w:hAnsi="仿宋_GB2312" w:cs="仿宋_GB2312" w:eastAsia="仿宋_GB2312"/>
                <w:sz w:val="28"/>
              </w:rPr>
              <w:t>项目名称：新合街办秦汉雅苑图纸分房项目</w:t>
            </w:r>
          </w:p>
          <w:p>
            <w:pPr>
              <w:pStyle w:val="null3"/>
              <w:ind w:firstLine="560"/>
            </w:pPr>
            <w:r>
              <w:rPr>
                <w:rFonts w:ascii="仿宋_GB2312" w:hAnsi="仿宋_GB2312" w:cs="仿宋_GB2312" w:eastAsia="仿宋_GB2312"/>
                <w:sz w:val="28"/>
              </w:rPr>
              <w:t>2.</w:t>
            </w:r>
            <w:r>
              <w:rPr>
                <w:rFonts w:ascii="仿宋_GB2312" w:hAnsi="仿宋_GB2312" w:cs="仿宋_GB2312" w:eastAsia="仿宋_GB2312"/>
                <w:sz w:val="28"/>
              </w:rPr>
              <w:t>项目预算：</w:t>
            </w:r>
            <w:r>
              <w:rPr>
                <w:rFonts w:ascii="仿宋_GB2312" w:hAnsi="仿宋_GB2312" w:cs="仿宋_GB2312" w:eastAsia="仿宋_GB2312"/>
                <w:sz w:val="28"/>
              </w:rPr>
              <w:t>876000.00</w:t>
            </w:r>
            <w:r>
              <w:rPr>
                <w:rFonts w:ascii="仿宋_GB2312" w:hAnsi="仿宋_GB2312" w:cs="仿宋_GB2312" w:eastAsia="仿宋_GB2312"/>
                <w:sz w:val="28"/>
              </w:rPr>
              <w:t>元</w:t>
            </w:r>
          </w:p>
          <w:p>
            <w:pPr>
              <w:pStyle w:val="null3"/>
              <w:ind w:firstLine="560"/>
            </w:pPr>
            <w:r>
              <w:rPr>
                <w:rFonts w:ascii="仿宋_GB2312" w:hAnsi="仿宋_GB2312" w:cs="仿宋_GB2312" w:eastAsia="仿宋_GB2312"/>
                <w:sz w:val="28"/>
              </w:rPr>
              <w:t>3.</w:t>
            </w:r>
            <w:r>
              <w:rPr>
                <w:rFonts w:ascii="仿宋_GB2312" w:hAnsi="仿宋_GB2312" w:cs="仿宋_GB2312" w:eastAsia="仿宋_GB2312"/>
                <w:sz w:val="28"/>
              </w:rPr>
              <w:t>项目</w:t>
            </w:r>
            <w:r>
              <w:rPr>
                <w:rFonts w:ascii="仿宋_GB2312" w:hAnsi="仿宋_GB2312" w:cs="仿宋_GB2312" w:eastAsia="仿宋_GB2312"/>
                <w:sz w:val="28"/>
              </w:rPr>
              <w:t>内容</w:t>
            </w:r>
          </w:p>
          <w:p>
            <w:pPr>
              <w:pStyle w:val="null3"/>
              <w:ind w:firstLine="560"/>
            </w:pPr>
            <w:r>
              <w:rPr>
                <w:rFonts w:ascii="仿宋_GB2312" w:hAnsi="仿宋_GB2312" w:cs="仿宋_GB2312" w:eastAsia="仿宋_GB2312"/>
                <w:sz w:val="28"/>
              </w:rPr>
              <w:t>主要服务内容为约</w:t>
            </w:r>
            <w:r>
              <w:rPr>
                <w:rFonts w:ascii="仿宋_GB2312" w:hAnsi="仿宋_GB2312" w:cs="仿宋_GB2312" w:eastAsia="仿宋_GB2312"/>
                <w:sz w:val="28"/>
              </w:rPr>
              <w:t>365</w:t>
            </w:r>
            <w:r>
              <w:rPr>
                <w:rFonts w:ascii="仿宋_GB2312" w:hAnsi="仿宋_GB2312" w:cs="仿宋_GB2312" w:eastAsia="仿宋_GB2312"/>
                <w:sz w:val="28"/>
              </w:rPr>
              <w:t>户搬迁安置群众提供分房服务，包含现场布置、宣传、方案策划及执行等相关内容。</w:t>
            </w:r>
          </w:p>
          <w:p>
            <w:pPr>
              <w:pStyle w:val="null3"/>
              <w:ind w:firstLine="562"/>
            </w:pPr>
            <w:r>
              <w:rPr>
                <w:rFonts w:ascii="仿宋_GB2312" w:hAnsi="仿宋_GB2312" w:cs="仿宋_GB2312" w:eastAsia="仿宋_GB2312"/>
                <w:sz w:val="28"/>
                <w:b/>
              </w:rPr>
              <w:t>二、服务内容及要求</w:t>
            </w:r>
          </w:p>
          <w:p>
            <w:pPr>
              <w:pStyle w:val="null3"/>
              <w:ind w:firstLine="560"/>
            </w:pPr>
            <w:r>
              <w:rPr>
                <w:rFonts w:ascii="仿宋_GB2312" w:hAnsi="仿宋_GB2312" w:cs="仿宋_GB2312" w:eastAsia="仿宋_GB2312"/>
                <w:sz w:val="28"/>
              </w:rPr>
              <w:t>1</w:t>
            </w:r>
            <w:r>
              <w:rPr>
                <w:rFonts w:ascii="仿宋_GB2312" w:hAnsi="仿宋_GB2312" w:cs="仿宋_GB2312" w:eastAsia="仿宋_GB2312"/>
                <w:sz w:val="28"/>
              </w:rPr>
              <w:t>、安置住房析产：对被搬迁群众安置住房进行房屋产权明晰，明确产权归属。</w:t>
            </w:r>
          </w:p>
          <w:p>
            <w:pPr>
              <w:pStyle w:val="null3"/>
              <w:ind w:firstLine="560"/>
            </w:pPr>
            <w:r>
              <w:rPr>
                <w:rFonts w:ascii="仿宋_GB2312" w:hAnsi="仿宋_GB2312" w:cs="仿宋_GB2312" w:eastAsia="仿宋_GB2312"/>
                <w:sz w:val="28"/>
              </w:rPr>
              <w:t>2</w:t>
            </w:r>
            <w:r>
              <w:rPr>
                <w:rFonts w:ascii="仿宋_GB2312" w:hAnsi="仿宋_GB2312" w:cs="仿宋_GB2312" w:eastAsia="仿宋_GB2312"/>
                <w:sz w:val="28"/>
              </w:rPr>
              <w:t>、制定方案</w:t>
            </w:r>
          </w:p>
          <w:p>
            <w:pPr>
              <w:pStyle w:val="null3"/>
              <w:ind w:firstLine="560"/>
            </w:pPr>
            <w:r>
              <w:rPr>
                <w:rFonts w:ascii="仿宋_GB2312" w:hAnsi="仿宋_GB2312" w:cs="仿宋_GB2312" w:eastAsia="仿宋_GB2312"/>
                <w:sz w:val="28"/>
              </w:rPr>
              <w:t>依据采购人提供相关资料及要求，并结合回迁安置房的特点，合理、科学的制订相关选房的方案及规则，确保分房工作的合理、合规、合法，顺利开展。</w:t>
            </w:r>
          </w:p>
          <w:p>
            <w:pPr>
              <w:pStyle w:val="null3"/>
              <w:ind w:firstLine="560"/>
            </w:pPr>
            <w:r>
              <w:rPr>
                <w:rFonts w:ascii="仿宋_GB2312" w:hAnsi="仿宋_GB2312" w:cs="仿宋_GB2312" w:eastAsia="仿宋_GB2312"/>
                <w:sz w:val="28"/>
              </w:rPr>
              <w:t>3</w:t>
            </w:r>
            <w:r>
              <w:rPr>
                <w:rFonts w:ascii="仿宋_GB2312" w:hAnsi="仿宋_GB2312" w:cs="仿宋_GB2312" w:eastAsia="仿宋_GB2312"/>
                <w:sz w:val="28"/>
              </w:rPr>
              <w:t>、选房场地</w:t>
            </w:r>
          </w:p>
          <w:p>
            <w:pPr>
              <w:pStyle w:val="null3"/>
              <w:ind w:firstLine="560"/>
            </w:pPr>
            <w:r>
              <w:rPr>
                <w:rFonts w:ascii="仿宋_GB2312" w:hAnsi="仿宋_GB2312" w:cs="仿宋_GB2312" w:eastAsia="仿宋_GB2312"/>
                <w:sz w:val="28"/>
              </w:rPr>
              <w:t>按照项目具体情况，选房地址应选在交通便利的地点，便于居民找到现场。选房地址附近需提供适当数量的停车位，供自驾前行及工作人员和居民停车。选房场地分为等候区、选房区、确认区、签约区等。</w:t>
            </w:r>
          </w:p>
          <w:p>
            <w:pPr>
              <w:pStyle w:val="null3"/>
              <w:ind w:firstLine="560"/>
            </w:pPr>
            <w:r>
              <w:rPr>
                <w:rFonts w:ascii="仿宋_GB2312" w:hAnsi="仿宋_GB2312" w:cs="仿宋_GB2312" w:eastAsia="仿宋_GB2312"/>
                <w:sz w:val="28"/>
              </w:rPr>
              <w:t>4</w:t>
            </w:r>
            <w:r>
              <w:rPr>
                <w:rFonts w:ascii="仿宋_GB2312" w:hAnsi="仿宋_GB2312" w:cs="仿宋_GB2312" w:eastAsia="仿宋_GB2312"/>
                <w:sz w:val="28"/>
              </w:rPr>
              <w:t>、选房服务工作人员选房活动期间所有工作人员的工作时间为</w:t>
            </w:r>
            <w:r>
              <w:rPr>
                <w:rFonts w:ascii="仿宋_GB2312" w:hAnsi="仿宋_GB2312" w:cs="仿宋_GB2312" w:eastAsia="仿宋_GB2312"/>
                <w:sz w:val="28"/>
              </w:rPr>
              <w:t>8</w:t>
            </w:r>
            <w:r>
              <w:rPr>
                <w:rFonts w:ascii="仿宋_GB2312" w:hAnsi="仿宋_GB2312" w:cs="仿宋_GB2312" w:eastAsia="仿宋_GB2312"/>
                <w:sz w:val="28"/>
              </w:rPr>
              <w:t>小时制。人员包含但不限于主持人、喊号检号人、监督人、审核人、接待员、资料发放员、摄像录像员等工作人员，专门负责选房活动流程各项工作及处理选房过程中遇到的相关问题。</w:t>
            </w:r>
          </w:p>
          <w:p>
            <w:pPr>
              <w:pStyle w:val="null3"/>
              <w:ind w:firstLine="560"/>
            </w:pPr>
            <w:r>
              <w:rPr>
                <w:rFonts w:ascii="仿宋_GB2312" w:hAnsi="仿宋_GB2312" w:cs="仿宋_GB2312" w:eastAsia="仿宋_GB2312"/>
                <w:sz w:val="28"/>
              </w:rPr>
              <w:t xml:space="preserve">① </w:t>
            </w:r>
            <w:r>
              <w:rPr>
                <w:rFonts w:ascii="仿宋_GB2312" w:hAnsi="仿宋_GB2312" w:cs="仿宋_GB2312" w:eastAsia="仿宋_GB2312"/>
                <w:sz w:val="28"/>
              </w:rPr>
              <w:t>选房安保</w:t>
            </w:r>
          </w:p>
          <w:p>
            <w:pPr>
              <w:pStyle w:val="null3"/>
              <w:ind w:firstLine="560"/>
            </w:pPr>
            <w:r>
              <w:rPr>
                <w:rFonts w:ascii="仿宋_GB2312" w:hAnsi="仿宋_GB2312" w:cs="仿宋_GB2312" w:eastAsia="仿宋_GB2312"/>
                <w:sz w:val="28"/>
              </w:rPr>
              <w:t>在选房正式进行期间，为维护现场秩序，保证选房活动有序安全的进行，夜间设备安全等，需在等候区、选房区、确认区及签约区都要安排保安人员。现场按人口密度安排相应的安保人员。安保人员需时刻关注现场情况，及时发现并制止可能引起的纷争，确保活动现场安全。</w:t>
            </w:r>
          </w:p>
          <w:p>
            <w:pPr>
              <w:pStyle w:val="null3"/>
              <w:ind w:firstLine="560"/>
            </w:pPr>
            <w:r>
              <w:rPr>
                <w:rFonts w:ascii="仿宋_GB2312" w:hAnsi="仿宋_GB2312" w:cs="仿宋_GB2312" w:eastAsia="仿宋_GB2312"/>
                <w:sz w:val="28"/>
              </w:rPr>
              <w:t>②</w:t>
            </w:r>
            <w:r>
              <w:rPr>
                <w:rFonts w:ascii="仿宋_GB2312" w:hAnsi="仿宋_GB2312" w:cs="仿宋_GB2312" w:eastAsia="仿宋_GB2312"/>
                <w:sz w:val="28"/>
              </w:rPr>
              <w:t>保洁</w:t>
            </w:r>
          </w:p>
          <w:p>
            <w:pPr>
              <w:pStyle w:val="null3"/>
              <w:ind w:firstLine="560"/>
            </w:pPr>
            <w:r>
              <w:rPr>
                <w:rFonts w:ascii="仿宋_GB2312" w:hAnsi="仿宋_GB2312" w:cs="仿宋_GB2312" w:eastAsia="仿宋_GB2312"/>
                <w:sz w:val="28"/>
              </w:rPr>
              <w:t>供应商在选房活动结束后，负责现场卫生，及时清理现场垃圾。</w:t>
            </w:r>
          </w:p>
          <w:p>
            <w:pPr>
              <w:pStyle w:val="null3"/>
              <w:ind w:firstLine="560"/>
            </w:pPr>
            <w:r>
              <w:rPr>
                <w:rFonts w:ascii="仿宋_GB2312" w:hAnsi="仿宋_GB2312" w:cs="仿宋_GB2312" w:eastAsia="仿宋_GB2312"/>
                <w:sz w:val="28"/>
              </w:rPr>
              <w:t>5</w:t>
            </w:r>
            <w:r>
              <w:rPr>
                <w:rFonts w:ascii="仿宋_GB2312" w:hAnsi="仿宋_GB2312" w:cs="仿宋_GB2312" w:eastAsia="仿宋_GB2312"/>
                <w:sz w:val="28"/>
              </w:rPr>
              <w:t>、宣传</w:t>
            </w:r>
          </w:p>
          <w:p>
            <w:pPr>
              <w:pStyle w:val="null3"/>
              <w:ind w:firstLine="560"/>
            </w:pPr>
            <w:r>
              <w:rPr>
                <w:rFonts w:ascii="仿宋_GB2312" w:hAnsi="仿宋_GB2312" w:cs="仿宋_GB2312" w:eastAsia="仿宋_GB2312"/>
                <w:sz w:val="28"/>
              </w:rPr>
              <w:t>供应商根据项目具体情况安排分房场地并在分房场地布置宣传（房源展板、标语、宣传册等）。按照提供的房源信息制作房源展板及宣传册，房源展板及宣传册上需将每个房源都展现出来，房源展板在明显区域靠墙面摆放，宣传册保证参加选房的居民人手一份最全的房源清册。被选掉的房源，由现场工作人员及时更新房源信息，方便居民准确掌握房源信息，避免挑选重复房源。</w:t>
            </w:r>
          </w:p>
          <w:p>
            <w:pPr>
              <w:pStyle w:val="null3"/>
              <w:ind w:firstLine="560"/>
            </w:pPr>
            <w:r>
              <w:rPr>
                <w:rFonts w:ascii="仿宋_GB2312" w:hAnsi="仿宋_GB2312" w:cs="仿宋_GB2312" w:eastAsia="仿宋_GB2312"/>
                <w:sz w:val="28"/>
              </w:rPr>
              <w:t>6</w:t>
            </w:r>
            <w:r>
              <w:rPr>
                <w:rFonts w:ascii="仿宋_GB2312" w:hAnsi="仿宋_GB2312" w:cs="仿宋_GB2312" w:eastAsia="仿宋_GB2312"/>
                <w:sz w:val="28"/>
              </w:rPr>
              <w:t>、选房会场布置</w:t>
            </w:r>
          </w:p>
          <w:p>
            <w:pPr>
              <w:pStyle w:val="null3"/>
              <w:ind w:firstLine="560"/>
            </w:pPr>
            <w:r>
              <w:rPr>
                <w:rFonts w:ascii="仿宋_GB2312" w:hAnsi="仿宋_GB2312" w:cs="仿宋_GB2312" w:eastAsia="仿宋_GB2312"/>
                <w:sz w:val="28"/>
              </w:rPr>
              <w:t>选房会场处应有此次活动名称横幅。等候区，设置投影幕布，供播放活动实况和进展情况及展示当日已选房源，四周放置房源展板，供选房居民挑选房源，并摆放椅子，供居民休息；公证区，设置公证席，用于公证人员开展公证工作；选房区，设置主选台，用于居民选房；确认区，设置确认台，用于向居民发放选房确认卡；签约区，设置签约台，用于与选房居民签订相关手续等事宜。</w:t>
            </w:r>
          </w:p>
          <w:p>
            <w:pPr>
              <w:pStyle w:val="null3"/>
              <w:ind w:firstLine="560"/>
            </w:pPr>
            <w:r>
              <w:rPr>
                <w:rFonts w:ascii="仿宋_GB2312" w:hAnsi="仿宋_GB2312" w:cs="仿宋_GB2312" w:eastAsia="仿宋_GB2312"/>
                <w:sz w:val="28"/>
              </w:rPr>
              <w:t>7</w:t>
            </w:r>
            <w:r>
              <w:rPr>
                <w:rFonts w:ascii="仿宋_GB2312" w:hAnsi="仿宋_GB2312" w:cs="仿宋_GB2312" w:eastAsia="仿宋_GB2312"/>
                <w:sz w:val="28"/>
              </w:rPr>
              <w:t>、办公设备</w:t>
            </w:r>
          </w:p>
          <w:p>
            <w:pPr>
              <w:pStyle w:val="null3"/>
              <w:ind w:firstLine="560"/>
            </w:pPr>
            <w:r>
              <w:rPr>
                <w:rFonts w:ascii="仿宋_GB2312" w:hAnsi="仿宋_GB2312" w:cs="仿宋_GB2312" w:eastAsia="仿宋_GB2312"/>
                <w:sz w:val="28"/>
              </w:rPr>
              <w:t>根据项目现场实际需要提供相应办公设施、设备，确保分房工作顺利进行。</w:t>
            </w:r>
          </w:p>
          <w:p>
            <w:pPr>
              <w:pStyle w:val="null3"/>
              <w:ind w:firstLine="560"/>
            </w:pPr>
            <w:r>
              <w:rPr>
                <w:rFonts w:ascii="仿宋_GB2312" w:hAnsi="仿宋_GB2312" w:cs="仿宋_GB2312" w:eastAsia="仿宋_GB2312"/>
                <w:sz w:val="28"/>
              </w:rPr>
              <w:t>8</w:t>
            </w:r>
            <w:r>
              <w:rPr>
                <w:rFonts w:ascii="仿宋_GB2312" w:hAnsi="仿宋_GB2312" w:cs="仿宋_GB2312" w:eastAsia="仿宋_GB2312"/>
                <w:sz w:val="28"/>
              </w:rPr>
              <w:t>、工作餐</w:t>
            </w:r>
          </w:p>
          <w:p>
            <w:pPr>
              <w:pStyle w:val="null3"/>
              <w:ind w:firstLine="560"/>
            </w:pPr>
            <w:r>
              <w:rPr>
                <w:rFonts w:ascii="仿宋_GB2312" w:hAnsi="仿宋_GB2312" w:cs="仿宋_GB2312" w:eastAsia="仿宋_GB2312"/>
                <w:sz w:val="28"/>
              </w:rPr>
              <w:t>需为</w:t>
            </w:r>
            <w:r>
              <w:rPr>
                <w:rFonts w:ascii="仿宋_GB2312" w:hAnsi="仿宋_GB2312" w:cs="仿宋_GB2312" w:eastAsia="仿宋_GB2312"/>
                <w:sz w:val="28"/>
              </w:rPr>
              <w:t>现场工作人员提供每日餐食，每餐需保证有充足的主食、纤维素、肉、蛋、奶、水果，保证营养全面。另外每日还要供应充足的茶水、开水、一次性水杯、瓶装矿泉水。</w:t>
            </w:r>
          </w:p>
          <w:p>
            <w:pPr>
              <w:pStyle w:val="null3"/>
              <w:ind w:firstLine="562"/>
            </w:pPr>
            <w:r>
              <w:rPr>
                <w:rFonts w:ascii="仿宋_GB2312" w:hAnsi="仿宋_GB2312" w:cs="仿宋_GB2312" w:eastAsia="仿宋_GB2312"/>
                <w:sz w:val="28"/>
                <w:b/>
              </w:rPr>
              <w:t>三、服务期限</w:t>
            </w:r>
          </w:p>
          <w:p>
            <w:pPr>
              <w:pStyle w:val="null3"/>
              <w:ind w:firstLine="560"/>
            </w:pPr>
            <w:r>
              <w:rPr>
                <w:rFonts w:ascii="仿宋_GB2312" w:hAnsi="仿宋_GB2312" w:cs="仿宋_GB2312" w:eastAsia="仿宋_GB2312"/>
                <w:sz w:val="28"/>
              </w:rPr>
              <w:t>15</w:t>
            </w:r>
            <w:r>
              <w:rPr>
                <w:rFonts w:ascii="仿宋_GB2312" w:hAnsi="仿宋_GB2312" w:cs="仿宋_GB2312" w:eastAsia="仿宋_GB2312"/>
                <w:sz w:val="28"/>
              </w:rPr>
              <w:t>日（具体时间以</w:t>
            </w:r>
            <w:r>
              <w:rPr>
                <w:rFonts w:ascii="仿宋_GB2312" w:hAnsi="仿宋_GB2312" w:cs="仿宋_GB2312" w:eastAsia="仿宋_GB2312"/>
                <w:sz w:val="28"/>
              </w:rPr>
              <w:t>采购人</w:t>
            </w:r>
            <w:r>
              <w:rPr>
                <w:rFonts w:ascii="仿宋_GB2312" w:hAnsi="仿宋_GB2312" w:cs="仿宋_GB2312" w:eastAsia="仿宋_GB2312"/>
                <w:sz w:val="28"/>
              </w:rPr>
              <w:t>通知为准）。</w:t>
            </w:r>
          </w:p>
          <w:p>
            <w:pPr>
              <w:pStyle w:val="null3"/>
              <w:ind w:firstLine="562"/>
            </w:pPr>
            <w:r>
              <w:rPr>
                <w:rFonts w:ascii="仿宋_GB2312" w:hAnsi="仿宋_GB2312" w:cs="仿宋_GB2312" w:eastAsia="仿宋_GB2312"/>
                <w:sz w:val="28"/>
                <w:b/>
              </w:rPr>
              <w:t>四、服务标准</w:t>
            </w:r>
          </w:p>
          <w:p>
            <w:pPr>
              <w:pStyle w:val="null3"/>
              <w:ind w:firstLine="560"/>
            </w:pPr>
            <w:r>
              <w:rPr>
                <w:rFonts w:ascii="仿宋_GB2312" w:hAnsi="仿宋_GB2312" w:cs="仿宋_GB2312" w:eastAsia="仿宋_GB2312"/>
                <w:sz w:val="28"/>
              </w:rPr>
              <w:t>分房工作坚持公开、公正、公平的原则，应遵循国家相关政策、法律法规，不得发生违章、违规事件，不能因行为不当引起村民的纠纷投诉。</w:t>
            </w:r>
          </w:p>
          <w:p>
            <w:pPr>
              <w:pStyle w:val="null3"/>
              <w:jc w:val="both"/>
            </w:pPr>
            <w:r>
              <w:rPr>
                <w:rFonts w:ascii="仿宋_GB2312" w:hAnsi="仿宋_GB2312" w:cs="仿宋_GB2312" w:eastAsia="仿宋_GB2312"/>
                <w:sz w:val="28"/>
              </w:rPr>
              <w:t xml:space="preserve">   本项目含税完全固定单价最高限价为：</w:t>
            </w:r>
            <w:r>
              <w:rPr>
                <w:rFonts w:ascii="仿宋_GB2312" w:hAnsi="仿宋_GB2312" w:cs="仿宋_GB2312" w:eastAsia="仿宋_GB2312"/>
                <w:sz w:val="28"/>
              </w:rPr>
              <w:t>2400</w:t>
            </w:r>
            <w:r>
              <w:rPr>
                <w:rFonts w:ascii="仿宋_GB2312" w:hAnsi="仿宋_GB2312" w:cs="仿宋_GB2312" w:eastAsia="仿宋_GB2312"/>
                <w:sz w:val="28"/>
              </w:rPr>
              <w:t>元</w:t>
            </w:r>
            <w:r>
              <w:rPr>
                <w:rFonts w:ascii="仿宋_GB2312" w:hAnsi="仿宋_GB2312" w:cs="仿宋_GB2312" w:eastAsia="仿宋_GB2312"/>
                <w:sz w:val="28"/>
              </w:rPr>
              <w:t>/</w:t>
            </w:r>
            <w:r>
              <w:rPr>
                <w:rFonts w:ascii="仿宋_GB2312" w:hAnsi="仿宋_GB2312" w:cs="仿宋_GB2312" w:eastAsia="仿宋_GB2312"/>
                <w:sz w:val="28"/>
              </w:rPr>
              <w:t>户，暂定分配户数：</w:t>
            </w:r>
            <w:r>
              <w:rPr>
                <w:rFonts w:ascii="仿宋_GB2312" w:hAnsi="仿宋_GB2312" w:cs="仿宋_GB2312" w:eastAsia="仿宋_GB2312"/>
                <w:sz w:val="28"/>
              </w:rPr>
              <w:t>365</w:t>
            </w:r>
            <w:r>
              <w:rPr>
                <w:rFonts w:ascii="仿宋_GB2312" w:hAnsi="仿宋_GB2312" w:cs="仿宋_GB2312" w:eastAsia="仿宋_GB2312"/>
                <w:sz w:val="28"/>
              </w:rPr>
              <w:t>户</w:t>
            </w:r>
            <w:r>
              <w:rPr>
                <w:rFonts w:ascii="仿宋_GB2312" w:hAnsi="仿宋_GB2312" w:cs="仿宋_GB2312" w:eastAsia="仿宋_GB2312"/>
                <w:sz w:val="28"/>
              </w:rPr>
              <w:t>,</w:t>
            </w:r>
            <w:r>
              <w:rPr>
                <w:rFonts w:ascii="仿宋_GB2312" w:hAnsi="仿宋_GB2312" w:cs="仿宋_GB2312" w:eastAsia="仿宋_GB2312"/>
                <w:sz w:val="28"/>
              </w:rPr>
              <w:t>最终根据实际分配户数与成交单价据实结算。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根据技术参数与性能指标配备相应设施设备，确保项目顺利实施。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15日（具体时间以采购人通知为准）。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以登报公示的回迁选房地点为准。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选房工作应遵循国家相关政策、法律法规，不得发生违章、违规事件，不能因行为不当引起村民的纠纷投诉。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待本次集中分房服务结束后，供应商根据采购人要求提交选房成果并经采购人核对无误后，双方按照本次已实际分房户数进行结算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（一）若一方不能履行合同义务，出现重大违约，则另一方可以书面通知方式单方面终止本合同，并可要求赔偿损失。 （二）在履行合同过程中，供应商不能按时管理（除不可抗力及采购人同意的原因顺延外）或未按技术规范进行维护管理，经采购人通知而未在采购人指定时间整改，每延误一天，应按合同暂定总价的千分之一向甲方支付违约金，延误超过5天的，采购人有权单方解除本合同，供应商应向采购人支付合同暂定总价10%的违约金。 （三）采购人延迟支付服务费，每延迟一日，应按延迟部分的千分之一向供应商支付逾期滞纳金。 （四）合同一方违约的，对方应积极采取适当措施阻止损失扩大，否则不得就扩大部分的损失要求赔偿；违约方应当承担守约方为阻止损失扩大而支付的合理费用。 解决争议的方法： （一）本合同在履行过程中发生的争议，由采购人、供应商双方当事人协商解决，协商不成的按下列第 2 种方式解决： 1、提交西安仲裁委员会仲裁； 2、依法向采购人所在地人民法院起诉。 （二）选房过程中如出现村民投诉，由村委会领导人员负责牵头调解，调解不成的，可向甲方所在地有管辖权的人民法院解决。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（一）成交人领取成交通知书时须向代理机构提交纸质版磋商响应文件：正本壹份、副本贰份、电子版（U盘）贰份。 （二）磋商报价为完成本项目竞争性磋商文件中所提出的工作范围及要求的全部内容，并达到国家及采购人验收标准而产生的所有费用，包括但不限于以下内容：选房场地费、选房安保费、保洁费、宣传费、会场布置费、办公设备费、工作餐费、服务费、管理费、人员工资、招标代理服务费、保险、利润、税金、风险（保险、处理一切伤亡事故等费用）、验收等完成本项目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响应文件封面 资格证明文件 响应方案说明 残疾人福利性单位声明函 标的清单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响应文件封面 资格证明文件 响应方案说明 残疾人福利性单位声明函 标的清单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响应文件封面 资格证明文件 响应方案说明 残疾人福利性单位声明函 标的清单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响应文件封面 资格证明文件 响应方案说明 残疾人福利性单位声明函 标的清单 响应函 业绩证明文件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针对本项目有完善的服务方案，本项满分10分。方案明确、细节考虑到位，可操作性强计7～10（含）分；方案、细节基本明确，描述良好的计4～7（含）分；方案描述符合要求，内容一般的计0～4（含）分。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定点宣传方案</w:t>
            </w:r>
          </w:p>
        </w:tc>
        <w:tc>
          <w:tcPr>
            <w:tcW w:type="dxa" w:w="2492"/>
          </w:tcPr>
          <w:p>
            <w:pPr>
              <w:pStyle w:val="null3"/>
            </w:pPr>
            <w:r>
              <w:rPr>
                <w:rFonts w:ascii="仿宋_GB2312" w:hAnsi="仿宋_GB2312" w:cs="仿宋_GB2312" w:eastAsia="仿宋_GB2312"/>
              </w:rPr>
              <w:t>定点宣传方案，本项满分6分。可操作性强、细节描述详细计3～6（含）分；有相对的操作性内容一般计0～3（含）分。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回迁选房方案策划</w:t>
            </w:r>
          </w:p>
        </w:tc>
        <w:tc>
          <w:tcPr>
            <w:tcW w:type="dxa" w:w="2492"/>
          </w:tcPr>
          <w:p>
            <w:pPr>
              <w:pStyle w:val="null3"/>
            </w:pPr>
            <w:r>
              <w:rPr>
                <w:rFonts w:ascii="仿宋_GB2312" w:hAnsi="仿宋_GB2312" w:cs="仿宋_GB2312" w:eastAsia="仿宋_GB2312"/>
              </w:rPr>
              <w:t>回迁选房方案策划，流程规划，本项满分7分。工作流程及内容分析完整、可操作性强、细节考虑到位，计5～7（含）分；工作流程及内容分析基本完整，有相对的可操作性，计2～5（含）分；工作流程及内容分析符合磋商文件要求，内容一般，计0～2（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分房现场规划布置、现场组织方案</w:t>
            </w:r>
          </w:p>
        </w:tc>
        <w:tc>
          <w:tcPr>
            <w:tcW w:type="dxa" w:w="2492"/>
          </w:tcPr>
          <w:p>
            <w:pPr>
              <w:pStyle w:val="null3"/>
            </w:pPr>
            <w:r>
              <w:rPr>
                <w:rFonts w:ascii="仿宋_GB2312" w:hAnsi="仿宋_GB2312" w:cs="仿宋_GB2312" w:eastAsia="仿宋_GB2312"/>
              </w:rPr>
              <w:t>分房现场规划布置、现场组织方案，本项满分10分。可操作性强、细节描述详细计7～10（含）分；有相对的操作性计4～7（含）分；内容一般计0～4（含）分。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物料、餐饮及现场保障措施</w:t>
            </w:r>
          </w:p>
        </w:tc>
        <w:tc>
          <w:tcPr>
            <w:tcW w:type="dxa" w:w="2492"/>
          </w:tcPr>
          <w:p>
            <w:pPr>
              <w:pStyle w:val="null3"/>
            </w:pPr>
            <w:r>
              <w:rPr>
                <w:rFonts w:ascii="仿宋_GB2312" w:hAnsi="仿宋_GB2312" w:cs="仿宋_GB2312" w:eastAsia="仿宋_GB2312"/>
              </w:rPr>
              <w:t>物料、餐饮及现场保障措施（不限于物料及场地投入保障措施、选房现场工作人员餐饮安排保障、秩序及安全保障措施、软件以及选房现场公证监督措施），本项满分12分。保障措施可操作性强、细节描述详细计8～12（含）分；保障措施有相对的操作性计4～8（含）分；保障措施内容一般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机构设置、人员管理方案</w:t>
            </w:r>
          </w:p>
        </w:tc>
        <w:tc>
          <w:tcPr>
            <w:tcW w:type="dxa" w:w="2492"/>
          </w:tcPr>
          <w:p>
            <w:pPr>
              <w:pStyle w:val="null3"/>
            </w:pPr>
            <w:r>
              <w:rPr>
                <w:rFonts w:ascii="仿宋_GB2312" w:hAnsi="仿宋_GB2312" w:cs="仿宋_GB2312" w:eastAsia="仿宋_GB2312"/>
              </w:rPr>
              <w:t>机构设置、人员管理方案完善合理、可行详细，供应商拟投入本项目的人员安排合理、分工明确,有操作性强的考核办法；根据响应程度综合评分，本项满分8分。机构设置合理、人员工作经验丰富，专业人员配备齐全、专业程度高、岗位职责完善清晰计4～8（含）分； 机构设置差、工作经验欠缺，专业人员配备不充足、专业程度及岗位职责差计0～4（含）分；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资料存档</w:t>
            </w:r>
          </w:p>
        </w:tc>
        <w:tc>
          <w:tcPr>
            <w:tcW w:type="dxa" w:w="2492"/>
          </w:tcPr>
          <w:p>
            <w:pPr>
              <w:pStyle w:val="null3"/>
            </w:pPr>
            <w:r>
              <w:rPr>
                <w:rFonts w:ascii="仿宋_GB2312" w:hAnsi="仿宋_GB2312" w:cs="仿宋_GB2312" w:eastAsia="仿宋_GB2312"/>
              </w:rPr>
              <w:t>整个过程的资料（电子及纸质）收集、整理、存档、保存方案，本项满分6分。方案可操作性强、细节描述详细、切合本项目实际情况计3～6（含）分；方案内容简单，操作性一般计0～3（含）分。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选房过程线上展示公示</w:t>
            </w:r>
          </w:p>
        </w:tc>
        <w:tc>
          <w:tcPr>
            <w:tcW w:type="dxa" w:w="2492"/>
          </w:tcPr>
          <w:p>
            <w:pPr>
              <w:pStyle w:val="null3"/>
            </w:pPr>
            <w:r>
              <w:rPr>
                <w:rFonts w:ascii="仿宋_GB2312" w:hAnsi="仿宋_GB2312" w:cs="仿宋_GB2312" w:eastAsia="仿宋_GB2312"/>
              </w:rPr>
              <w:t>提供选房过程线上展示公示（以图表图片形式在响应文件中体现），根据响应程度计0～5分。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突发情况、冲突纠纷的应对措施及其他针对本项目的合理化建议</w:t>
            </w:r>
          </w:p>
        </w:tc>
        <w:tc>
          <w:tcPr>
            <w:tcW w:type="dxa" w:w="2492"/>
          </w:tcPr>
          <w:p>
            <w:pPr>
              <w:pStyle w:val="null3"/>
            </w:pPr>
            <w:r>
              <w:rPr>
                <w:rFonts w:ascii="仿宋_GB2312" w:hAnsi="仿宋_GB2312" w:cs="仿宋_GB2312" w:eastAsia="仿宋_GB2312"/>
              </w:rPr>
              <w:t>有针对本项目突发情况、冲突纠纷的应对措施及其他针对本项目的合理化建议。本项满分8分。保障措施合理详细，可行性强计5～8（含）分；保障措施针对性及可行性较强计2～5（含）分；保障措施针对性及可行性较差计0～2（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1、对回迁选房工作遵循国家相关政策法律、法规，无违章、违规事件，不能因行为不当引起村民纠纷投诉做出具体的服务承诺以及完全承诺磋商文件和合同条款的要求，按其响应程度计0～4分。 2、对服务期限内质量、人员到位情况、后期服务等做出实质性承诺（内容应当包含不能完全履行承诺时愿意接受相关处罚的相关承诺），按其响应程度计0～4分。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提供2022年以来类似项目业绩合同（以合同签订时间为准），每份业绩计1分，满分5分。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后报价最低的供应商的价格为磋商基准价，其价格分为满分。其他供应商的价格分统一按照下列公式计算：磋商报价得分=（磋商基准价/最后磋商报价）×价格权值（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详见附件：报价一览表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