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版本号：CGZC2025-082、SCZC2025-ZB-1751-00120250908001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广运潭派出所租赁办公楼采购项目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CGZC2025-082、SCZC2025-ZB-1751-001</w:t>
      </w:r>
      <w:r>
        <w:br/>
      </w:r>
      <w:r>
        <w:br/>
      </w:r>
      <w:r>
        <w:br/>
      </w:r>
    </w:p>
    <w:p>
      <w:pPr>
        <w:pStyle w:val="null3"/>
        <w:jc w:val="center"/>
        <w:outlineLvl w:val="5"/>
      </w:pPr>
      <w:r>
        <w:rPr>
          <w:rFonts w:ascii="仿宋_GB2312" w:hAnsi="仿宋_GB2312" w:cs="仿宋_GB2312" w:eastAsia="仿宋_GB2312"/>
          <w:sz w:val="15"/>
          <w:b/>
        </w:rPr>
        <w:t>西安市公安局浐灞国际港分局</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2025年09月12日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西安市公安局浐灞国际港分局</w:t>
      </w:r>
      <w:r>
        <w:rPr>
          <w:rFonts w:ascii="仿宋_GB2312" w:hAnsi="仿宋_GB2312" w:cs="仿宋_GB2312" w:eastAsia="仿宋_GB2312"/>
        </w:rPr>
        <w:t>委托，拟对</w:t>
      </w:r>
      <w:r>
        <w:rPr>
          <w:rFonts w:ascii="仿宋_GB2312" w:hAnsi="仿宋_GB2312" w:cs="仿宋_GB2312" w:eastAsia="仿宋_GB2312"/>
        </w:rPr>
        <w:t>广运潭派出所租赁办公楼采购项目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CGZC2025-082、SCZC2025-ZB-1751-001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广运潭派出所租赁办公楼采购项目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广运潭派出所办公用房租赁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采购包1（广运潭派出所租赁办公楼）：属于专门面向中小企业采购。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协商的，应提供法定代表人或单位负责人身份证明；授权代表参加协商的，应提供法定代表人或单位负责人身份证明、授权委托书及授权代表在本单位缴纳养老保险的证明。</w:t>
      </w:r>
    </w:p>
    <w:p>
      <w:pPr>
        <w:pStyle w:val="null3"/>
      </w:pPr>
      <w:r>
        <w:rPr>
          <w:rFonts w:ascii="仿宋_GB2312" w:hAnsi="仿宋_GB2312" w:cs="仿宋_GB2312" w:eastAsia="仿宋_GB2312"/>
        </w:rPr>
        <w:t>2、信用查询：供应商在递交响应文件截止时间前被“信用中国”网站（www.creditchina.gov.cn）和中国政府采购网（www.ccgp.gov.cn）上列入失信被执行人、重大税收违法失信主体、政府采购严重违法失信行为记录名单的，不得参加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西安市灞桥区浐河西路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029-86713089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李峻豪、王莉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采购包1：7,110,000.00元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采购包1：7,110,000.00元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代理服务费收费标准：参照《国家计委关于印发&lt;招标代理服务收费管理暂行办法&gt;的通知》（计价格〔2002〕1980号）的规定进行收取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西安市公安局浐灞国际港分局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西安市公安局浐灞国际港分局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广运潭派出所租赁办公楼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7,110,000.00</w:t>
      </w:r>
    </w:p>
    <w:p>
      <w:pPr>
        <w:pStyle w:val="null3"/>
      </w:pPr>
      <w:r>
        <w:rPr>
          <w:rFonts w:ascii="仿宋_GB2312" w:hAnsi="仿宋_GB2312" w:cs="仿宋_GB2312" w:eastAsia="仿宋_GB2312"/>
        </w:rPr>
        <w:t>采购包最高限价（元）: 7,110,000.00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广运潭派出所租赁办公楼</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标的名称：广运潭派出所租赁办公楼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90"/>
            </w:pPr>
            <w:r>
              <w:rPr>
                <w:rFonts w:ascii="仿宋_GB2312" w:hAnsi="仿宋_GB2312" w:cs="仿宋_GB2312" w:eastAsia="仿宋_GB2312"/>
              </w:rPr>
              <w:t>一、项目概况</w:t>
            </w:r>
          </w:p>
          <w:p>
            <w:pPr>
              <w:pStyle w:val="null3"/>
            </w:pPr>
            <w:r>
              <w:rPr>
                <w:rFonts w:ascii="仿宋_GB2312" w:hAnsi="仿宋_GB2312" w:cs="仿宋_GB2312" w:eastAsia="仿宋_GB2312"/>
              </w:rPr>
              <w:t>2022年，为保障广运潭派出所民辅警正常办公、生活，适应新形势下公安干警履职需要，进一步促进基层派出所规范化建设，管委会通过政府采购程序租赁一处新址用于派出所日常办公、生活，租赁合同期限为两年，现合同已经到期。为确保广运潭派出所警务人员日常办公的有序开展，拟通过单一来源方式进行办公用房租赁采购，地址位于西安浐灞国际港锦堤一路1366号振业泊岸小区16号楼，占地面积约6亩，建筑总面积4466m²,室外停车场面积约2150m²(按照百分之三十的标准计入租赁面积为645m²)合计面积为5111m²。</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西安浐灞国际港锦堤一路1366号振业泊岸小区16号楼办公用房租赁，并提供租赁物附属设施设备。</w:t>
            </w:r>
          </w:p>
          <w:p>
            <w:pPr>
              <w:pStyle w:val="null3"/>
            </w:pPr>
            <w:r>
              <w:rPr>
                <w:rFonts w:ascii="仿宋_GB2312" w:hAnsi="仿宋_GB2312" w:cs="仿宋_GB2312" w:eastAsia="仿宋_GB2312"/>
              </w:rPr>
              <w:t>1、建筑物室内共四层，建筑面积：一层建筑面积：1355m²,二层建筑面积：1256m²,三层建筑面积：1355m²,四层建筑面积：500m²,合计面积为4466m²。</w:t>
            </w:r>
          </w:p>
          <w:p>
            <w:pPr>
              <w:pStyle w:val="null3"/>
            </w:pPr>
            <w:r>
              <w:rPr>
                <w:rFonts w:ascii="仿宋_GB2312" w:hAnsi="仿宋_GB2312" w:cs="仿宋_GB2312" w:eastAsia="仿宋_GB2312"/>
              </w:rPr>
              <w:t>2、室外部分：室外停车场面积约2150m²(按照百分之三十的标准计入租赁面积为645m²),可满足80辆左右的车辆停放，设有车辆进出口。</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1、出租方应保证租赁物的建筑结构、设备设施和规划用途以及建筑、消防、水电、排水、排污等配套设施符合承租方使用条件。</w:t>
            </w:r>
          </w:p>
          <w:p>
            <w:pPr>
              <w:pStyle w:val="null3"/>
            </w:pPr>
            <w:r>
              <w:rPr>
                <w:rFonts w:ascii="仿宋_GB2312" w:hAnsi="仿宋_GB2312" w:cs="仿宋_GB2312" w:eastAsia="仿宋_GB2312"/>
              </w:rPr>
              <w:t>2、出租方交付租赁物，同时开始提供租赁物供水、供电等相关配套服务。应定期检查保养租赁物及其附属设施设备，确保租赁物及其设施设备处于良好运行状态。</w:t>
            </w:r>
          </w:p>
          <w:p>
            <w:pPr>
              <w:pStyle w:val="null3"/>
            </w:pPr>
            <w:r>
              <w:rPr>
                <w:rFonts w:ascii="仿宋_GB2312" w:hAnsi="仿宋_GB2312" w:cs="仿宋_GB2312" w:eastAsia="仿宋_GB2312"/>
              </w:rPr>
              <w:t>3、采购人在租赁期限内正常使用房屋，如出现房屋质量问题，出租方及时进行修缮予以解决，并承担相应的责任。同时做好租赁期限内的应急管理工作。</w:t>
            </w:r>
          </w:p>
          <w:p>
            <w:pPr>
              <w:pStyle w:val="null3"/>
            </w:pPr>
            <w:r>
              <w:rPr>
                <w:rFonts w:ascii="仿宋_GB2312" w:hAnsi="仿宋_GB2312" w:cs="仿宋_GB2312" w:eastAsia="仿宋_GB2312"/>
              </w:rPr>
              <w:t>4、出租方对房屋及其设备应定期检查，及时修缮。</w:t>
            </w:r>
          </w:p>
          <w:p>
            <w:pPr>
              <w:pStyle w:val="null3"/>
            </w:pPr>
            <w:r>
              <w:rPr>
                <w:rFonts w:ascii="仿宋_GB2312" w:hAnsi="仿宋_GB2312" w:cs="仿宋_GB2312" w:eastAsia="仿宋_GB2312"/>
              </w:rPr>
              <w:t>5、出租方保证出租的房屋没有产权纠纷、债权债务纠纷。因出租方原因，造成出租房屋发生产权、债权债务的，则由出租方承担全部责任，出租方应立即排除妨碍，如影响采购人使用或给采购人造成损失的，由出租方给予赔偿，范围包括给采购人造成的实际损失、可预期利益，以及采购人因维权所产生的全部相关费用。</w:t>
            </w:r>
          </w:p>
          <w:p>
            <w:pPr>
              <w:pStyle w:val="null3"/>
            </w:pPr>
            <w:r>
              <w:rPr>
                <w:rFonts w:ascii="仿宋_GB2312" w:hAnsi="仿宋_GB2312" w:cs="仿宋_GB2312" w:eastAsia="仿宋_GB2312"/>
              </w:rPr>
              <w:t>6、在房屋出租前、合同存续期间不允许出租方将房屋作为抵押贷款，否则采购人有权终止合同，并对出租方违约行为进行追究，同时按《中华人民共和国政府采购法》的有关规定进行处罚。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西安浐灞国际港锦堤一路1366号振业泊岸小区16号楼</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租赁期第三个月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租赁期第六个月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租赁期第九个月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租赁期第十二个月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租赁期第十五个月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租赁期第十八个月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租赁期第二十一个月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提供（1）或提供（2）：（1）提供2024年度财务报表复印件，应满足以下要求：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②供应商适用《事业单位会计准则》的，财务报表是指上述指定年度整个会计年度财务报表（不要求必须是经审计的），复印件至少须包括资产负债表、收入支出表（或收入费用表）、财政补助收入支出表。 ③供应商适用《政府会计准则》的，财务报表是指上述指定年度整个会计年度财务报表（不要求必须是经审计的），复印件至少须包括资产负债表、收入费用表。 ④供应商适用《民间非营利组织会计制度》的，财务报表是指上述指定年度整个会计年度财务报表（不要求必须是经审计的），复印件至少须包括资产负债表、业务活动表、现金流量表。 ⑤供应商是上述四种情况以外情况的，按照其依法适用的会计制度、财务规则或会计准则提供 财务报表复印件（不要求必须是经审计的）。 （2）提供资信证明原件扫描件或复印件，应满足以下要求： ①资信证明须为递交投标文件截止时间前三个月内由供应商开户银行出具。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法定代表人或单位负责人参加协商的，应提供法定代表人或单位负责人身份证明；授权代表参加协商的，应提供法定代表人或单位负责人身份证明、授权委托书及授权代表在本单位缴纳养老保险的证明。</w:t>
            </w:r>
          </w:p>
        </w:tc>
        <w:tc>
          <w:tcPr>
            <w:tcW w:type="dxa" w:w="1661"/>
          </w:tcPr>
          <w:p>
            <w:pPr>
              <w:pStyle w:val="null3"/>
            </w:pPr>
            <w:r>
              <w:rPr>
                <w:rFonts w:ascii="仿宋_GB2312" w:hAnsi="仿宋_GB2312" w:cs="仿宋_GB2312" w:eastAsia="仿宋_GB2312"/>
              </w:rPr>
              <w:t>身份证明文件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列入失信被执行人、重大税收违法失信主体、政府采购严重违法失信行为记录名单的，不得参加协商。</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单一来源采购人员认为供应商报价明显低于市场价格的，有可能影响产品质量或者不能诚信履约的，单一来源采购人员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单一来源采购人员要求的时间内通过项目电子化交易系统进行提交，否则提交的相关证明材料无效。供应商不能证明其响应报价合理性的，单一来源采购人员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技术偏离表 分项报价表 中小企业声明函 商务应答表 报价表 响应文件封面 身份证明文件 资格证明文件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供应商首次报价没有超出采购预算或最高限价</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