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0F2C0">
      <w:pPr>
        <w:pStyle w:val="4"/>
        <w:jc w:val="center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  <w:t>技术偏离表</w:t>
      </w:r>
    </w:p>
    <w:p w14:paraId="1B6E8F71">
      <w:pPr>
        <w:pStyle w:val="2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</w:p>
    <w:p w14:paraId="37830A25">
      <w:pPr>
        <w:pStyle w:val="2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</w:p>
    <w:tbl>
      <w:tblPr>
        <w:tblStyle w:val="5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500"/>
        <w:gridCol w:w="2231"/>
        <w:gridCol w:w="1819"/>
        <w:gridCol w:w="2074"/>
      </w:tblGrid>
      <w:tr w14:paraId="19766F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" w:type="pct"/>
            <w:vAlign w:val="center"/>
          </w:tcPr>
          <w:p w14:paraId="5C133745">
            <w:pPr>
              <w:spacing w:line="40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880" w:type="pct"/>
            <w:vAlign w:val="center"/>
          </w:tcPr>
          <w:p w14:paraId="54C49AAD">
            <w:pPr>
              <w:spacing w:line="40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服务要求</w:t>
            </w:r>
          </w:p>
        </w:tc>
        <w:tc>
          <w:tcPr>
            <w:tcW w:w="1309" w:type="pct"/>
            <w:vAlign w:val="center"/>
          </w:tcPr>
          <w:p w14:paraId="427FD49E">
            <w:pPr>
              <w:spacing w:line="40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采购文件要求</w:t>
            </w:r>
          </w:p>
        </w:tc>
        <w:tc>
          <w:tcPr>
            <w:tcW w:w="1067" w:type="pct"/>
            <w:vAlign w:val="center"/>
          </w:tcPr>
          <w:p w14:paraId="66AE34B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217" w:type="pct"/>
            <w:vAlign w:val="center"/>
          </w:tcPr>
          <w:p w14:paraId="2510AEB9">
            <w:pPr>
              <w:spacing w:line="40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偏离简述</w:t>
            </w:r>
          </w:p>
        </w:tc>
      </w:tr>
      <w:tr w14:paraId="0BB4A1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5" w:type="pct"/>
          </w:tcPr>
          <w:p w14:paraId="52B4A7ED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0" w:type="pct"/>
          </w:tcPr>
          <w:p w14:paraId="7170C149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09" w:type="pct"/>
          </w:tcPr>
          <w:p w14:paraId="6EFBF978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pct"/>
          </w:tcPr>
          <w:p w14:paraId="3663656D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17" w:type="pct"/>
          </w:tcPr>
          <w:p w14:paraId="29DDC58E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46AD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5" w:type="pct"/>
          </w:tcPr>
          <w:p w14:paraId="5A1068C0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0" w:type="pct"/>
          </w:tcPr>
          <w:p w14:paraId="25247C31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09" w:type="pct"/>
          </w:tcPr>
          <w:p w14:paraId="16712CFB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pct"/>
          </w:tcPr>
          <w:p w14:paraId="2F5E93A5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17" w:type="pct"/>
          </w:tcPr>
          <w:p w14:paraId="7A898EB4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6EAE9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5" w:type="pct"/>
          </w:tcPr>
          <w:p w14:paraId="3EFBEEE1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0" w:type="pct"/>
          </w:tcPr>
          <w:p w14:paraId="40EA555B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09" w:type="pct"/>
          </w:tcPr>
          <w:p w14:paraId="628540E8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pct"/>
          </w:tcPr>
          <w:p w14:paraId="32606D60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17" w:type="pct"/>
          </w:tcPr>
          <w:p w14:paraId="71C0FA35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8993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5" w:type="pct"/>
          </w:tcPr>
          <w:p w14:paraId="4B65D673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0" w:type="pct"/>
          </w:tcPr>
          <w:p w14:paraId="7DD44B3C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09" w:type="pct"/>
          </w:tcPr>
          <w:p w14:paraId="53EC1BCD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pct"/>
          </w:tcPr>
          <w:p w14:paraId="18A1724C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17" w:type="pct"/>
          </w:tcPr>
          <w:p w14:paraId="071C909F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67C2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5" w:type="pct"/>
          </w:tcPr>
          <w:p w14:paraId="32BE7D69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0" w:type="pct"/>
          </w:tcPr>
          <w:p w14:paraId="11B4FF52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09" w:type="pct"/>
          </w:tcPr>
          <w:p w14:paraId="53EC7DAE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pct"/>
          </w:tcPr>
          <w:p w14:paraId="7A72D137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17" w:type="pct"/>
          </w:tcPr>
          <w:p w14:paraId="0D26AF6D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5B64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5" w:type="pct"/>
          </w:tcPr>
          <w:p w14:paraId="66C4408F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0" w:type="pct"/>
          </w:tcPr>
          <w:p w14:paraId="7EA28861">
            <w:pPr>
              <w:spacing w:line="400" w:lineRule="exact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09" w:type="pct"/>
          </w:tcPr>
          <w:p w14:paraId="41C35DBC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pct"/>
          </w:tcPr>
          <w:p w14:paraId="4E926A2C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17" w:type="pct"/>
          </w:tcPr>
          <w:p w14:paraId="32B6F574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513BB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5" w:type="pct"/>
          </w:tcPr>
          <w:p w14:paraId="763CDB5D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0" w:type="pct"/>
          </w:tcPr>
          <w:p w14:paraId="50F1E971">
            <w:pPr>
              <w:spacing w:line="400" w:lineRule="exact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09" w:type="pct"/>
          </w:tcPr>
          <w:p w14:paraId="419F85A8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67" w:type="pct"/>
          </w:tcPr>
          <w:p w14:paraId="0E9E68AB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17" w:type="pct"/>
          </w:tcPr>
          <w:p w14:paraId="0D58D766">
            <w:pPr>
              <w:spacing w:line="40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6631E5C8">
      <w:pPr>
        <w:spacing w:before="120" w:after="120"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供应商（公章）：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</w:t>
      </w:r>
    </w:p>
    <w:p w14:paraId="48E3CB4E">
      <w:pPr>
        <w:spacing w:before="120" w:after="120"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法定代表人（或单位负责人）或其授权代表（签字或盖章）：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</w:t>
      </w:r>
    </w:p>
    <w:p w14:paraId="0F748A6A">
      <w:pPr>
        <w:spacing w:before="120" w:after="120"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69383B5E">
      <w:pPr>
        <w:spacing w:line="360" w:lineRule="auto"/>
        <w:rPr>
          <w:rFonts w:ascii="仿宋" w:hAnsi="仿宋" w:eastAsia="仿宋" w:cs="仿宋"/>
          <w:color w:val="auto"/>
          <w:highlight w:val="none"/>
        </w:rPr>
      </w:pPr>
    </w:p>
    <w:p w14:paraId="3E0DE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textAlignment w:val="auto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highlight w:val="none"/>
        </w:rPr>
        <w:t>对完全响应的，在本表偏离情况中标注“完全响应”。对有偏离的，在本表偏离情况中标注“正偏离”或“负偏离”。并在“偏离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highlight w:val="none"/>
        </w:rPr>
        <w:t>简述”栏中加以说明。</w:t>
      </w:r>
    </w:p>
    <w:p w14:paraId="104286DA"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textAlignment w:val="auto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highlight w:val="none"/>
        </w:rPr>
        <w:t>正偏离是指应答的条件高于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highlight w:val="none"/>
        </w:rPr>
        <w:t>要求，负偏离是指应答的条件低于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highlight w:val="none"/>
        </w:rPr>
        <w:t>要求。</w:t>
      </w:r>
    </w:p>
    <w:p w14:paraId="3808D191"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highlight w:val="none"/>
        </w:rPr>
        <w:t>供应商按照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highlight w:val="none"/>
        </w:rPr>
        <w:t>要求逐条完整填写响应表。如果未完整填写响应表的各项内容则视作供应商已经对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highlight w:val="none"/>
        </w:rPr>
        <w:t>相关要求和内容完全理解并同意，其报价为在此基础上的完全价格。</w:t>
      </w:r>
    </w:p>
    <w:p w14:paraId="3B73B711"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textAlignment w:val="auto"/>
      </w:pPr>
      <w:r>
        <w:rPr>
          <w:rFonts w:hint="eastAsia" w:ascii="仿宋" w:hAnsi="仿宋" w:eastAsia="仿宋" w:cs="仿宋"/>
          <w:color w:val="auto"/>
          <w:highlight w:val="none"/>
        </w:rPr>
        <w:t>4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highlight w:val="none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highlight w:val="none"/>
        </w:rPr>
        <w:t>要求，并写入合同。若成交供应商在合同签订前，以上述事项为借口而不履行合同签订手续及执行合同，则视作拒绝与采购人签订合同。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C6E68"/>
    <w:rsid w:val="09CD0A4B"/>
    <w:rsid w:val="0DFD4CA4"/>
    <w:rsid w:val="1B171B26"/>
    <w:rsid w:val="1D1A58FD"/>
    <w:rsid w:val="1E733517"/>
    <w:rsid w:val="21CF4F08"/>
    <w:rsid w:val="2B1F7673"/>
    <w:rsid w:val="2D856DA1"/>
    <w:rsid w:val="369619AD"/>
    <w:rsid w:val="44FF7003"/>
    <w:rsid w:val="5C5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395</Words>
  <Characters>396</Characters>
  <Lines>0</Lines>
  <Paragraphs>0</Paragraphs>
  <TotalTime>1</TotalTime>
  <ScaleCrop>false</ScaleCrop>
  <LinksUpToDate>false</LinksUpToDate>
  <CharactersWithSpaces>449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2025-01-02T09:38:00Z</dcterms:created>
  <dc:creator>Administrator</dc:creator>
  <cp:lastModifiedBy>Jun</cp:lastModifiedBy>
  <dcterms:modified xsi:type="dcterms:W3CDTF">2025-09-08T08:22:36Z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eyJoZGlkIjoiZDU3NDQxYWM0MTczYjBhMzlmYjdkYmMwMzBhMmYwMWMiLCJ1c2VySWQiOiIyNTQ0OTA1OTQifQ==</vt:lpwstr>
  </property>
  <property fmtid="{D5CDD505-2E9C-101B-9397-08002B2CF9AE}" pid="4" name="ICV">
    <vt:lpwstr>36764FC4B51C4D1ABFF29F1A3FDD7743_12</vt:lpwstr>
  </property>
</Properties>
</file>