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版本号：CGZC-2025-192-SXLX25-02-091Z(F)20260128001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新筑执法大队餐饮服务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CGZC-2025-192-SXLX25-02-091Z(F)</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新筑执法大队餐饮服务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CGZC-2025-192-SXLX25-02-091Z(F)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新筑执法大队餐饮服务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新筑执法大队餐饮服务项目。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采购包1（新筑执法大队餐饮服务）：属于专门面向中小企业采购。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1、特定资格要求如下：(1)供应商的营业执照等证明文件，自然人的身份证明； (2)法定代表人（单位负责人）参加磋商的，提供本人身份证复印件；法定代表人（单位负责人）授权他人参加磋商的，提供法定代表人（单位负责人）委托授权书并出示被授权代表的身份证复印件以及2025年1月至今任意时段在本单位注册的已缴纳的社会保障资金缴存单据或社保机构开具的社会保险参保缴费情况证明；按照电子化全流程要求，投标（响应）文件递交时，签到的人员信息应为法定代表人或授权委托人。 (3)提供2023年度或2024年度经审计的财务会计报告或其提交响应文件截止时间前3个月内银行出具的资信证明。 (4)提供供应商2025年1月至今已缴纳任意时段任意税种完税凭证或税务机关开具的完税证明（个人所得税除外）；依法免税的应提供相关文件证明； (5)提供供应商2025年1月至今任意时段已缴纳的社会保障资金缴存单据或社保机构开具的社会保险参保缴费情况证明；依法不需要缴纳社会保障资金的应提供相关文件证明； (6)具备履行合同所必需的设备和专业技术能力的证明； (7)参加本次磋商前3年内，在经营活动中没有重大违法记录的书面声明； (8)供应商不得被列入“信用中国”网站（https://www.creditchina.gov.cn/ ）“失信被执行人”（页面跳转至“中国执行信息公开网”http://zxgk.court.gov.cn/shixin/）、“重大税收违法失信主体”；不得处于中国政府采购网（http://www.ccgp.gov.cn/)“政府采购严重违法失信行为信息记录”中的禁止参加政府采购活动期间； (9)单位负责人为同一人或者存在直接控股、管理关系的不同供应商，不得参加同一合同项下的采购活动； (10)须提供有效的《食品经营许可证》； (11)本项目不接受联合体磋商。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陕西省西安市灞桥区港兴三路与和畅路交叉口西北角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任甜、王小琼、梁嘉峰、杜航、罗晓妮、李亚男、郑婧婧、王真、周晓青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采购包1：1,397,760.00元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计价格〔2002〕1980号）和国家发展改革委办公厅颁发的《关于招标代理服务收费有关问题》（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注：招标代理服务费计入投标报价，但报价中不需要单独列项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人要求执行，根据所服务的内容并按照所对应的法律法规、规范标准、技术规程等实施，在实施过程中，如果国家或有关部门颁布了新的技术标准或规范，则供应商应采用新的标准或规范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联系人：任甜、王小琼、梁嘉峰、杜航、罗晓妮、李亚男、郑婧婧、王真、周晓青</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新筑执法大队餐饮服务项目；周一至周天，每天三餐。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1,397,760.00</w:t>
      </w:r>
    </w:p>
    <w:p>
      <w:pPr>
        <w:pStyle w:val="null3"/>
      </w:pPr>
      <w:r>
        <w:rPr>
          <w:rFonts w:ascii="仿宋_GB2312" w:hAnsi="仿宋_GB2312" w:cs="仿宋_GB2312" w:eastAsia="仿宋_GB2312"/>
        </w:rPr>
        <w:t>采购包最高限价（元）: 1,397,760.00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新筑执法大队餐饮服务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1,397,760.00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标的名称：新筑执法大队餐饮服务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FF"/>
              </w:rPr>
              <w:t>一、项目概况</w:t>
            </w:r>
          </w:p>
          <w:p>
            <w:pPr>
              <w:pStyle w:val="null3"/>
              <w:ind w:firstLine="408"/>
              <w:jc w:val="both"/>
            </w:pPr>
            <w:r>
              <w:rPr>
                <w:rFonts w:ascii="仿宋_GB2312" w:hAnsi="仿宋_GB2312" w:cs="仿宋_GB2312" w:eastAsia="仿宋_GB2312"/>
                <w:b/>
                <w:color w:val="0000FF"/>
              </w:rPr>
              <w:t>项目基本情况：周一至周天，每日三餐</w:t>
            </w:r>
            <w:r>
              <w:rPr>
                <w:rFonts w:ascii="仿宋_GB2312" w:hAnsi="仿宋_GB2312" w:cs="仿宋_GB2312" w:eastAsia="仿宋_GB2312"/>
                <w:color w:val="0000FF"/>
              </w:rPr>
              <w:t>。</w:t>
            </w:r>
          </w:p>
          <w:p>
            <w:pPr>
              <w:pStyle w:val="null3"/>
              <w:ind w:firstLine="408"/>
              <w:jc w:val="both"/>
            </w:pPr>
            <w:r>
              <w:rPr>
                <w:rFonts w:ascii="仿宋_GB2312" w:hAnsi="仿宋_GB2312" w:cs="仿宋_GB2312" w:eastAsia="仿宋_GB2312"/>
                <w:b/>
                <w:color w:val="0000FF"/>
              </w:rPr>
              <w:t>本项目采购标的名称：</w:t>
            </w:r>
            <w:r>
              <w:rPr>
                <w:rFonts w:ascii="仿宋_GB2312" w:hAnsi="仿宋_GB2312" w:cs="仿宋_GB2312" w:eastAsia="仿宋_GB2312"/>
                <w:color w:val="0000FF"/>
              </w:rPr>
              <w:t>本项目所属行业为餐饮业。</w:t>
            </w:r>
          </w:p>
          <w:p>
            <w:pPr>
              <w:pStyle w:val="null3"/>
              <w:spacing w:before="120" w:after="120"/>
              <w:jc w:val="left"/>
              <w:outlineLvl w:val="1"/>
            </w:pPr>
            <w:r>
              <w:rPr>
                <w:rFonts w:ascii="仿宋_GB2312" w:hAnsi="仿宋_GB2312" w:cs="仿宋_GB2312" w:eastAsia="仿宋_GB2312"/>
                <w:sz w:val="28"/>
                <w:b/>
                <w:color w:val="0000FF"/>
              </w:rPr>
              <w:t>二</w:t>
            </w:r>
            <w:r>
              <w:rPr>
                <w:rFonts w:ascii="仿宋_GB2312" w:hAnsi="仿宋_GB2312" w:cs="仿宋_GB2312" w:eastAsia="仿宋_GB2312"/>
                <w:sz w:val="28"/>
                <w:b/>
                <w:color w:val="0000FF"/>
              </w:rPr>
              <w:t>、</w:t>
            </w:r>
            <w:r>
              <w:rPr>
                <w:rFonts w:ascii="仿宋_GB2312" w:hAnsi="仿宋_GB2312" w:cs="仿宋_GB2312" w:eastAsia="仿宋_GB2312"/>
                <w:sz w:val="28"/>
                <w:b/>
                <w:color w:val="0000FF"/>
              </w:rPr>
              <w:t>服务</w:t>
            </w:r>
            <w:r>
              <w:rPr>
                <w:rFonts w:ascii="仿宋_GB2312" w:hAnsi="仿宋_GB2312" w:cs="仿宋_GB2312" w:eastAsia="仿宋_GB2312"/>
                <w:sz w:val="28"/>
                <w:b/>
                <w:color w:val="0000FF"/>
              </w:rPr>
              <w:t>内容及要求</w:t>
            </w:r>
          </w:p>
          <w:p>
            <w:pPr>
              <w:pStyle w:val="null3"/>
              <w:ind w:firstLine="400"/>
              <w:jc w:val="left"/>
            </w:pPr>
            <w:r>
              <w:rPr>
                <w:rFonts w:ascii="仿宋_GB2312" w:hAnsi="仿宋_GB2312" w:cs="仿宋_GB2312" w:eastAsia="仿宋_GB2312"/>
                <w:sz w:val="20"/>
                <w:b/>
                <w:color w:val="0000FF"/>
              </w:rPr>
              <w:t>1、服务内容：</w:t>
            </w:r>
          </w:p>
          <w:p>
            <w:pPr>
              <w:pStyle w:val="null3"/>
              <w:ind w:firstLine="367"/>
              <w:jc w:val="left"/>
            </w:pPr>
            <w:r>
              <w:rPr>
                <w:rFonts w:ascii="仿宋_GB2312" w:hAnsi="仿宋_GB2312" w:cs="仿宋_GB2312" w:eastAsia="仿宋_GB2312"/>
                <w:sz w:val="20"/>
                <w:b/>
                <w:color w:val="0000FF"/>
              </w:rPr>
              <w:t>（一）现场运营管理</w:t>
            </w:r>
          </w:p>
          <w:p>
            <w:pPr>
              <w:pStyle w:val="null3"/>
              <w:ind w:firstLine="367"/>
              <w:jc w:val="left"/>
            </w:pPr>
            <w:r>
              <w:rPr>
                <w:rFonts w:ascii="仿宋_GB2312" w:hAnsi="仿宋_GB2312" w:cs="仿宋_GB2312" w:eastAsia="仿宋_GB2312"/>
                <w:sz w:val="20"/>
                <w:color w:val="0000FF"/>
              </w:rPr>
              <w:t>服务内容</w:t>
            </w:r>
          </w:p>
          <w:p>
            <w:pPr>
              <w:pStyle w:val="null3"/>
              <w:ind w:firstLine="367"/>
              <w:jc w:val="left"/>
            </w:pPr>
            <w:r>
              <w:rPr>
                <w:rFonts w:ascii="仿宋_GB2312" w:hAnsi="仿宋_GB2312" w:cs="仿宋_GB2312" w:eastAsia="仿宋_GB2312"/>
                <w:sz w:val="20"/>
                <w:color w:val="0000FF"/>
              </w:rPr>
              <w:t>包括但不限于：</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）餐厅档口的餐品供应；</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）餐厅档口菜品质量控制；</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）餐厅所有食材原料供应链搭建与管理；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）餐厅食品安全管理；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）餐厅环境质量管理；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）餐厅服务质量；</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）餐厅设施设备的保管与维护；</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）突发事件的应急管理等。</w:t>
            </w:r>
          </w:p>
          <w:p>
            <w:pPr>
              <w:pStyle w:val="null3"/>
              <w:ind w:firstLine="367"/>
              <w:jc w:val="left"/>
            </w:pPr>
            <w:r>
              <w:rPr>
                <w:rFonts w:ascii="仿宋_GB2312" w:hAnsi="仿宋_GB2312" w:cs="仿宋_GB2312" w:eastAsia="仿宋_GB2312"/>
                <w:sz w:val="20"/>
                <w:b/>
                <w:color w:val="0000FF"/>
              </w:rPr>
              <w:t>（二）经营管理服务</w:t>
            </w:r>
          </w:p>
          <w:p>
            <w:pPr>
              <w:pStyle w:val="null3"/>
              <w:ind w:firstLine="367"/>
              <w:jc w:val="left"/>
            </w:pPr>
            <w:r>
              <w:rPr>
                <w:rFonts w:ascii="仿宋_GB2312" w:hAnsi="仿宋_GB2312" w:cs="仿宋_GB2312" w:eastAsia="仿宋_GB2312"/>
                <w:sz w:val="20"/>
                <w:color w:val="0000FF"/>
              </w:rPr>
              <w:t>包括但不限于：</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结合经营情况，建立健全餐厅组织管理提供组织管理方案与制度；</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2）引进国内先进餐厅管理理念与经验，为餐厅全流程管理提供方案；</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）对餐厅人员进行日常培训；</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按季度反馈信息系统运行情况以及整改意见；</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参与信息系统全流程运行并提供经营管理服务；</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参与餐厅供应链系统的选择、导入及监督工作；</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餐厅各类设施设备的选择与维护提供专业化的建议与意见；</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餐厅菜品研发及出品方案进行持续设计、优化与提升；</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对餐厅的食品安全、环境卫生、经营情况等进行检查，并对发现问题进行汇总整理，并协助整改落实；</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配合完成职责范围内的经营管理服务。</w:t>
            </w:r>
          </w:p>
          <w:p>
            <w:pPr>
              <w:pStyle w:val="null3"/>
              <w:ind w:firstLine="367"/>
              <w:jc w:val="left"/>
            </w:pPr>
            <w:r>
              <w:rPr>
                <w:rFonts w:ascii="仿宋_GB2312" w:hAnsi="仿宋_GB2312" w:cs="仿宋_GB2312" w:eastAsia="仿宋_GB2312"/>
                <w:sz w:val="20"/>
                <w:b/>
                <w:color w:val="0000FF"/>
              </w:rPr>
              <w:t>（三）供餐标准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供应商按照每天人均</w:t>
            </w:r>
            <w:r>
              <w:rPr>
                <w:rFonts w:ascii="仿宋_GB2312" w:hAnsi="仿宋_GB2312" w:cs="仿宋_GB2312" w:eastAsia="仿宋_GB2312"/>
                <w:sz w:val="20"/>
                <w:color w:val="0000FF"/>
              </w:rPr>
              <w:t>40元（包含早餐、午餐、晚餐）标准合理配餐。</w:t>
            </w:r>
            <w:r>
              <w:rPr>
                <w:rFonts w:ascii="仿宋_GB2312" w:hAnsi="仿宋_GB2312" w:cs="仿宋_GB2312" w:eastAsia="仿宋_GB2312"/>
                <w:color w:val="0000FF"/>
              </w:rPr>
              <w:t>注：</w:t>
            </w:r>
            <w:r>
              <w:rPr>
                <w:rFonts w:ascii="仿宋_GB2312" w:hAnsi="仿宋_GB2312" w:cs="仿宋_GB2312" w:eastAsia="仿宋_GB2312"/>
                <w:sz w:val="20"/>
                <w:color w:val="0000FF"/>
              </w:rPr>
              <w:t>35元由采购人支付，5元由就餐人现场个人支付</w:t>
            </w:r>
            <w:r>
              <w:rPr>
                <w:rFonts w:ascii="仿宋_GB2312" w:hAnsi="仿宋_GB2312" w:cs="仿宋_GB2312" w:eastAsia="仿宋_GB2312"/>
                <w:color w:val="0000FF"/>
              </w:rPr>
              <w:t>。</w:t>
            </w:r>
          </w:p>
          <w:p>
            <w:pPr>
              <w:pStyle w:val="null3"/>
              <w:ind w:firstLine="367"/>
              <w:jc w:val="left"/>
            </w:pPr>
            <w:r>
              <w:rPr>
                <w:rFonts w:ascii="仿宋_GB2312" w:hAnsi="仿宋_GB2312" w:cs="仿宋_GB2312" w:eastAsia="仿宋_GB2312"/>
                <w:sz w:val="20"/>
                <w:color w:val="0000FF"/>
              </w:rPr>
              <w:t>配餐标准要求（不限于）：</w:t>
            </w:r>
          </w:p>
          <w:p>
            <w:pPr>
              <w:pStyle w:val="null3"/>
              <w:ind w:firstLine="367"/>
              <w:jc w:val="left"/>
            </w:pPr>
            <w:r>
              <w:rPr>
                <w:rFonts w:ascii="仿宋_GB2312" w:hAnsi="仿宋_GB2312" w:cs="仿宋_GB2312" w:eastAsia="仿宋_GB2312"/>
                <w:sz w:val="20"/>
                <w:color w:val="0000FF"/>
              </w:rPr>
              <w:t>1.1</w:t>
            </w:r>
            <w:r>
              <w:rPr>
                <w:rFonts w:ascii="仿宋_GB2312" w:hAnsi="仿宋_GB2312" w:cs="仿宋_GB2312" w:eastAsia="仿宋_GB2312"/>
                <w:sz w:val="20"/>
                <w:color w:val="0000FF"/>
              </w:rPr>
              <w:t>早餐：</w:t>
            </w:r>
            <w:r>
              <w:rPr>
                <w:rFonts w:ascii="仿宋_GB2312" w:hAnsi="仿宋_GB2312" w:cs="仿宋_GB2312" w:eastAsia="仿宋_GB2312"/>
                <w:sz w:val="20"/>
                <w:color w:val="0000FF"/>
              </w:rPr>
              <w:t>7个菜（4凉3热），主食馒头、包子、花卷、油条（饼）等，小吃胡辣汤、肉夹馍、豆腐脑等不能重样，小菜4种，稀饭2种，豆浆、鲜奶、鸡蛋必备。</w:t>
            </w:r>
          </w:p>
          <w:p>
            <w:pPr>
              <w:pStyle w:val="null3"/>
              <w:ind w:firstLine="367"/>
              <w:jc w:val="left"/>
            </w:pPr>
            <w:r>
              <w:rPr>
                <w:rFonts w:ascii="仿宋_GB2312" w:hAnsi="仿宋_GB2312" w:cs="仿宋_GB2312" w:eastAsia="仿宋_GB2312"/>
                <w:sz w:val="20"/>
                <w:color w:val="0000FF"/>
              </w:rPr>
              <w:t>1.2</w:t>
            </w:r>
            <w:r>
              <w:rPr>
                <w:rFonts w:ascii="仿宋_GB2312" w:hAnsi="仿宋_GB2312" w:cs="仿宋_GB2312" w:eastAsia="仿宋_GB2312"/>
                <w:sz w:val="20"/>
                <w:color w:val="0000FF"/>
              </w:rPr>
              <w:t>中餐：</w:t>
            </w:r>
            <w:r>
              <w:rPr>
                <w:rFonts w:ascii="仿宋_GB2312" w:hAnsi="仿宋_GB2312" w:cs="仿宋_GB2312" w:eastAsia="仿宋_GB2312"/>
                <w:sz w:val="20"/>
                <w:color w:val="0000FF"/>
              </w:rPr>
              <w:t>8个菜（春夏秋三季2凉6热、冬季8热），主食米饭、面条等，小吃不少于两种，荤素汤各1种，水果2样，酸奶1种。</w:t>
            </w:r>
          </w:p>
          <w:p>
            <w:pPr>
              <w:pStyle w:val="null3"/>
              <w:ind w:firstLine="367"/>
              <w:jc w:val="left"/>
            </w:pPr>
            <w:r>
              <w:rPr>
                <w:rFonts w:ascii="仿宋_GB2312" w:hAnsi="仿宋_GB2312" w:cs="仿宋_GB2312" w:eastAsia="仿宋_GB2312"/>
                <w:sz w:val="20"/>
                <w:color w:val="0000FF"/>
              </w:rPr>
              <w:t>1.3</w:t>
            </w:r>
            <w:r>
              <w:rPr>
                <w:rFonts w:ascii="仿宋_GB2312" w:hAnsi="仿宋_GB2312" w:cs="仿宋_GB2312" w:eastAsia="仿宋_GB2312"/>
                <w:sz w:val="20"/>
                <w:color w:val="0000FF"/>
              </w:rPr>
              <w:t>晚餐：</w:t>
            </w:r>
            <w:r>
              <w:rPr>
                <w:rFonts w:ascii="仿宋_GB2312" w:hAnsi="仿宋_GB2312" w:cs="仿宋_GB2312" w:eastAsia="仿宋_GB2312"/>
                <w:sz w:val="20"/>
                <w:color w:val="0000FF"/>
              </w:rPr>
              <w:t>3个菜，面条。</w:t>
            </w:r>
          </w:p>
          <w:p>
            <w:pPr>
              <w:pStyle w:val="null3"/>
              <w:ind w:firstLine="367"/>
              <w:jc w:val="left"/>
            </w:pPr>
            <w:r>
              <w:rPr>
                <w:rFonts w:ascii="仿宋_GB2312" w:hAnsi="仿宋_GB2312" w:cs="仿宋_GB2312" w:eastAsia="仿宋_GB2312"/>
                <w:sz w:val="20"/>
                <w:color w:val="0000FF"/>
              </w:rPr>
              <w:t>1.4</w:t>
            </w:r>
            <w:r>
              <w:rPr>
                <w:rFonts w:ascii="仿宋_GB2312" w:hAnsi="仿宋_GB2312" w:cs="仿宋_GB2312" w:eastAsia="仿宋_GB2312"/>
                <w:sz w:val="20"/>
                <w:color w:val="0000FF"/>
              </w:rPr>
              <w:t>小吃，多样化。</w:t>
            </w:r>
          </w:p>
          <w:p>
            <w:pPr>
              <w:pStyle w:val="null3"/>
              <w:ind w:firstLine="367"/>
              <w:jc w:val="left"/>
            </w:pPr>
            <w:r>
              <w:rPr>
                <w:rFonts w:ascii="仿宋_GB2312" w:hAnsi="仿宋_GB2312" w:cs="仿宋_GB2312" w:eastAsia="仿宋_GB2312"/>
                <w:sz w:val="20"/>
                <w:color w:val="0000FF"/>
              </w:rPr>
              <w:t>供应商按照上述餐费标准及要求制定菜谱，做到营养搭配、均衡膳食。</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供餐时间：早饭：</w:t>
            </w:r>
            <w:r>
              <w:rPr>
                <w:rFonts w:ascii="仿宋_GB2312" w:hAnsi="仿宋_GB2312" w:cs="仿宋_GB2312" w:eastAsia="仿宋_GB2312"/>
                <w:sz w:val="20"/>
                <w:color w:val="0000FF"/>
              </w:rPr>
              <w:t>07：30-09：00</w:t>
            </w:r>
          </w:p>
          <w:p>
            <w:pPr>
              <w:pStyle w:val="null3"/>
              <w:ind w:firstLine="367"/>
              <w:jc w:val="left"/>
            </w:pPr>
            <w:r>
              <w:rPr>
                <w:rFonts w:ascii="仿宋_GB2312" w:hAnsi="仿宋_GB2312" w:cs="仿宋_GB2312" w:eastAsia="仿宋_GB2312"/>
                <w:sz w:val="20"/>
                <w:color w:val="0000FF"/>
              </w:rPr>
              <w:t>午饭：</w:t>
            </w:r>
            <w:r>
              <w:rPr>
                <w:rFonts w:ascii="仿宋_GB2312" w:hAnsi="仿宋_GB2312" w:cs="仿宋_GB2312" w:eastAsia="仿宋_GB2312"/>
                <w:sz w:val="20"/>
                <w:color w:val="0000FF"/>
              </w:rPr>
              <w:t>11：30-13：30</w:t>
            </w:r>
          </w:p>
          <w:p>
            <w:pPr>
              <w:pStyle w:val="null3"/>
              <w:ind w:firstLine="367"/>
              <w:jc w:val="left"/>
            </w:pPr>
            <w:r>
              <w:rPr>
                <w:rFonts w:ascii="仿宋_GB2312" w:hAnsi="仿宋_GB2312" w:cs="仿宋_GB2312" w:eastAsia="仿宋_GB2312"/>
                <w:sz w:val="20"/>
                <w:color w:val="0000FF"/>
              </w:rPr>
              <w:t>晚饭：</w:t>
            </w:r>
            <w:r>
              <w:rPr>
                <w:rFonts w:ascii="仿宋_GB2312" w:hAnsi="仿宋_GB2312" w:cs="仿宋_GB2312" w:eastAsia="仿宋_GB2312"/>
                <w:sz w:val="20"/>
                <w:color w:val="0000FF"/>
              </w:rPr>
              <w:t>17：30-19：30</w:t>
            </w:r>
          </w:p>
          <w:p>
            <w:pPr>
              <w:pStyle w:val="null3"/>
              <w:ind w:firstLine="367"/>
              <w:jc w:val="left"/>
            </w:pPr>
            <w:r>
              <w:rPr>
                <w:rFonts w:ascii="仿宋_GB2312" w:hAnsi="仿宋_GB2312" w:cs="仿宋_GB2312" w:eastAsia="仿宋_GB2312"/>
                <w:sz w:val="20"/>
                <w:color w:val="0000FF"/>
              </w:rPr>
              <w:t>注：采购人周末及节假日均有少量人员值班，供应商需正常供餐。</w:t>
            </w:r>
          </w:p>
          <w:p>
            <w:pPr>
              <w:pStyle w:val="null3"/>
              <w:ind w:firstLine="367"/>
              <w:jc w:val="left"/>
            </w:pPr>
            <w:r>
              <w:rPr>
                <w:rFonts w:ascii="仿宋_GB2312" w:hAnsi="仿宋_GB2312" w:cs="仿宋_GB2312" w:eastAsia="仿宋_GB2312"/>
                <w:sz w:val="20"/>
                <w:b/>
                <w:color w:val="0000FF"/>
              </w:rPr>
              <w:t>（四）管理要求</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供应商负责做好食堂后厨及餐厅清洁卫生；</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所有菜品应根据季节变化更新原料搭配，注重菜品更新；</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食品安全保证；</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为就餐地点合理配备各类服务人员及人数；</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供应商负责餐饮质量、现场安全生产管理等相关工作；</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食品样品留样：供应商每日食品须留样，食品样品的提取和保存应满足采购人或政府监管部门的要求，供应商应随时配合政府有关部门的管理；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餐厅食品安全管理工作，对食材入库检查、食材加工烹调、厨房餐具用具等重点环节进行重点把控；</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餐厅食品卫生管理工作，对食品配餐间、食品加工间以及工作人员的卫生等情况进行管理；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餐厅各区域内的安全设施是否正常，制定消防演练、预案演练等工作，确保餐厅人员和财产安全；</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安全、消防知识学习，定期进行安全、消防检查，及时处理安全漏洞与隐患，遇险情立即采取应急措施，并及时报告相关领导。</w:t>
            </w:r>
          </w:p>
          <w:p>
            <w:pPr>
              <w:pStyle w:val="null3"/>
              <w:ind w:firstLine="367"/>
              <w:jc w:val="left"/>
            </w:pPr>
            <w:r>
              <w:rPr>
                <w:rFonts w:ascii="仿宋_GB2312" w:hAnsi="仿宋_GB2312" w:cs="仿宋_GB2312" w:eastAsia="仿宋_GB2312"/>
                <w:sz w:val="20"/>
                <w:b/>
                <w:color w:val="0000FF"/>
              </w:rPr>
              <w:t>（五）餐厅人员要求及标准</w:t>
            </w:r>
          </w:p>
          <w:p>
            <w:pPr>
              <w:pStyle w:val="null3"/>
              <w:ind w:firstLine="367"/>
              <w:jc w:val="left"/>
            </w:pPr>
            <w:r>
              <w:rPr>
                <w:rFonts w:ascii="仿宋_GB2312" w:hAnsi="仿宋_GB2312" w:cs="仿宋_GB2312" w:eastAsia="仿宋_GB2312"/>
                <w:sz w:val="20"/>
                <w:color w:val="0000FF"/>
              </w:rPr>
              <w:t>餐厅服务人员应满足以下条件：</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凡食品生产经营人员应按照相关规定进行健康检查，取得健康证明后方可参加工作；</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凡患有痢疾、伤寒、病毒性肝炎等消化道传染病（包括病原携带者），活动性肺结核，化脓性或者渗出性皮肤病及其它有碍食品卫生的疾病，不得从事接触直接入口食品工作；</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凡食品从业人员手部有开放性、感染性伤口，必须调离工作岗位；</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人员须提供入职人员档案、身份证复印件、员工花名册以及对应照片、保险、健康证明、无犯罪记录证明等，</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人员应为年龄</w:t>
            </w:r>
            <w:r>
              <w:rPr>
                <w:rFonts w:ascii="仿宋_GB2312" w:hAnsi="仿宋_GB2312" w:cs="仿宋_GB2312" w:eastAsia="仿宋_GB2312"/>
                <w:sz w:val="20"/>
                <w:color w:val="0000FF"/>
              </w:rPr>
              <w:t>18周岁以上的中国公民，品行良好，遵纪守法，无犯罪记录或治安处罚记录。</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人员应具备相应岗位的工作能力和工作经验，思想作风正派；</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服务人员需提供人员名单、身份证号码等个人信息，以便于后期采购人随时核查。如出现虚假响应或不响应等情况，则取消中标资格。</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8）定期对管理人员和从业人员进行食品安全业务培训，每学期进行考核；</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9）从业人员应接受晨检。有发热、呕吐、腹泻、皮肤伤口或感染、咽部炎症等有碍食品安全病症的人员，应主动向食品安全管理人员等报告并暂停从事接触直接入口食品的工作，待查明原因并治愈后方可复岗；</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10）服务人员不得留长指甲、涂指甲油或化妆。工作时，佩戴的饰物不应外露；</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11）从事接触直接入口食品工作的从业人员，加工食品前应进行手部消毒；</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12）专间和专用操作区内的从业人员操作时应佩戴清洁的口罩、手套、工作帽等；</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13）清洁操作区与其他操作区从业人员的工作服应有明显的颜色或标识区分。专间和专用操作区专用工作服与其他区域工作服外观应有明显区分。</w:t>
            </w:r>
          </w:p>
          <w:p>
            <w:pPr>
              <w:pStyle w:val="null3"/>
              <w:ind w:firstLine="367"/>
              <w:jc w:val="left"/>
            </w:pPr>
            <w:r>
              <w:rPr>
                <w:rFonts w:ascii="仿宋_GB2312" w:hAnsi="仿宋_GB2312" w:cs="仿宋_GB2312" w:eastAsia="仿宋_GB2312"/>
                <w:sz w:val="20"/>
                <w:b/>
                <w:color w:val="0000FF"/>
              </w:rPr>
              <w:t>（六）食品安全生产要求及标准</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依照法律、法规和食品安全标准从事加工经营活动，对采购人负责，采取有效管理措施，保证食品安全，接受社会监督，承担社会责任。按照许可范围依法经营</w:t>
            </w:r>
            <w:r>
              <w:rPr>
                <w:rFonts w:ascii="仿宋_GB2312" w:hAnsi="仿宋_GB2312" w:cs="仿宋_GB2312" w:eastAsia="仿宋_GB2312"/>
                <w:sz w:val="20"/>
                <w:color w:val="0000FF"/>
              </w:rPr>
              <w:t>,并在就餐场所醒目位置悬挂或者摆放食品经营许可证；</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建立健全食品库房管理制度、食品加工间管理制度、粗加工管理制度、烹调加工管理制度、面食制作管理制度、食品留样制度、餐具洗涤消杀管理制度等相关制度；</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建立餐厅食品安全管理组织机构</w:t>
            </w:r>
            <w:r>
              <w:rPr>
                <w:rFonts w:ascii="仿宋_GB2312" w:hAnsi="仿宋_GB2312" w:cs="仿宋_GB2312" w:eastAsia="仿宋_GB2312"/>
                <w:sz w:val="20"/>
                <w:color w:val="0000FF"/>
              </w:rPr>
              <w:t>,配备培训合格的食品安全管理员，对食品生产过程实</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sz w:val="20"/>
                <w:color w:val="0000FF"/>
              </w:rPr>
              <w:t>施内部检查管理并记录</w:t>
            </w:r>
            <w:r>
              <w:rPr>
                <w:rFonts w:ascii="仿宋_GB2312" w:hAnsi="仿宋_GB2312" w:cs="仿宋_GB2312" w:eastAsia="仿宋_GB2312"/>
                <w:sz w:val="20"/>
                <w:color w:val="0000FF"/>
              </w:rPr>
              <w:t>,落实责任到人和员工奖罚制度管理，积极预防和控制食品安全事件。</w:t>
            </w:r>
          </w:p>
          <w:p>
            <w:pPr>
              <w:pStyle w:val="null3"/>
              <w:ind w:firstLine="367"/>
              <w:jc w:val="left"/>
            </w:pPr>
            <w:r>
              <w:rPr>
                <w:rFonts w:ascii="仿宋_GB2312" w:hAnsi="仿宋_GB2312" w:cs="仿宋_GB2312" w:eastAsia="仿宋_GB2312"/>
                <w:sz w:val="20"/>
                <w:b/>
                <w:color w:val="0000FF"/>
              </w:rPr>
              <w:t>（七）配送食品的内容及标准</w:t>
            </w:r>
          </w:p>
          <w:p>
            <w:pPr>
              <w:pStyle w:val="null3"/>
              <w:ind w:firstLine="367"/>
              <w:jc w:val="left"/>
            </w:pPr>
            <w:r>
              <w:rPr>
                <w:rFonts w:ascii="仿宋_GB2312" w:hAnsi="仿宋_GB2312" w:cs="仿宋_GB2312" w:eastAsia="仿宋_GB2312"/>
                <w:sz w:val="20"/>
                <w:color w:val="0000FF"/>
              </w:rPr>
              <w:t>1.大米应符合供应时间段粮食卫生国家现行有效标准规定GB/T 1354-2018标准。在保质期内，具有“SC”标志。</w:t>
            </w:r>
          </w:p>
          <w:p>
            <w:pPr>
              <w:pStyle w:val="null3"/>
              <w:ind w:firstLine="367"/>
              <w:jc w:val="left"/>
            </w:pPr>
            <w:r>
              <w:rPr>
                <w:rFonts w:ascii="仿宋_GB2312" w:hAnsi="仿宋_GB2312" w:cs="仿宋_GB2312" w:eastAsia="仿宋_GB2312"/>
                <w:sz w:val="20"/>
                <w:color w:val="0000FF"/>
              </w:rPr>
              <w:t>2.食用油应符合供应时间段粮食卫生国家现行有效标准规定GB/T 1536-2021标准，在保质期内，具有“SC”标志。</w:t>
            </w:r>
          </w:p>
          <w:p>
            <w:pPr>
              <w:pStyle w:val="null3"/>
              <w:ind w:firstLine="367"/>
              <w:jc w:val="left"/>
            </w:pPr>
            <w:r>
              <w:rPr>
                <w:rFonts w:ascii="仿宋_GB2312" w:hAnsi="仿宋_GB2312" w:cs="仿宋_GB2312" w:eastAsia="仿宋_GB2312"/>
                <w:sz w:val="20"/>
                <w:color w:val="0000FF"/>
              </w:rPr>
              <w:t>3.面粉（一级以上（含一级）小麦粉）应符合供应时间段粮食卫生国家现行有效标准规定GB/T 1355-2021标准，在保质期内，具有“SC”标志。</w:t>
            </w:r>
          </w:p>
          <w:p>
            <w:pPr>
              <w:pStyle w:val="null3"/>
              <w:ind w:firstLine="367"/>
              <w:jc w:val="left"/>
            </w:pPr>
            <w:r>
              <w:rPr>
                <w:rFonts w:ascii="仿宋_GB2312" w:hAnsi="仿宋_GB2312" w:cs="仿宋_GB2312" w:eastAsia="仿宋_GB2312"/>
                <w:sz w:val="20"/>
                <w:color w:val="0000FF"/>
              </w:rPr>
              <w:t>4.副食品、调味品（食盐、味精、酱油、醋等）送货当日时间不得超过保质期的1/3时长，具有最新国家标准，有“SC”标志。</w:t>
            </w:r>
          </w:p>
          <w:p>
            <w:pPr>
              <w:pStyle w:val="null3"/>
              <w:ind w:firstLine="367"/>
              <w:jc w:val="left"/>
            </w:pPr>
            <w:r>
              <w:rPr>
                <w:rFonts w:ascii="仿宋_GB2312" w:hAnsi="仿宋_GB2312" w:cs="仿宋_GB2312" w:eastAsia="仿宋_GB2312"/>
                <w:sz w:val="20"/>
                <w:color w:val="0000FF"/>
              </w:rPr>
              <w:t>5.鸡蛋和饮用奶必须符合GB 2748-2003《鲜蛋卫生标准》、GB/T 39438-2020《包装鸡蛋》、GB/T 6914-1986《生鲜牛乳收购标准》规定的原奶生产，在保质期内，有“SC”标志；豆制品及其他半成品送货当日时间不得超过保质期的1/3时长，具有最新国家标准，预包装类食品原料应具有“SC”标志。</w:t>
            </w:r>
          </w:p>
          <w:p>
            <w:pPr>
              <w:pStyle w:val="null3"/>
              <w:ind w:firstLine="367"/>
              <w:jc w:val="left"/>
            </w:pPr>
            <w:r>
              <w:rPr>
                <w:rFonts w:ascii="仿宋_GB2312" w:hAnsi="仿宋_GB2312" w:cs="仿宋_GB2312" w:eastAsia="仿宋_GB2312"/>
                <w:sz w:val="20"/>
                <w:color w:val="0000FF"/>
              </w:rPr>
              <w:t>6.配送的鲜肉类必须在定点屠宰场（或宰杀店）宰杀加工，并经动物卫生检疫机构检疫合格，加盖检疫合格印章和屠宰场印章，并附有《动物产品检疫合格证明》。</w:t>
            </w:r>
          </w:p>
          <w:p>
            <w:pPr>
              <w:pStyle w:val="null3"/>
              <w:ind w:firstLine="367"/>
              <w:jc w:val="left"/>
            </w:pPr>
            <w:r>
              <w:rPr>
                <w:rFonts w:ascii="仿宋_GB2312" w:hAnsi="仿宋_GB2312" w:cs="仿宋_GB2312" w:eastAsia="仿宋_GB2312"/>
                <w:sz w:val="20"/>
                <w:color w:val="0000FF"/>
              </w:rPr>
              <w:t>7.蔬菜：</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1）叶菜类：新鲜、色泽鲜亮、无腐烂、无干叶、捆把内部无杂乱夹塞，菜品粗细均匀，脆嫩不老，不抽苔。茎部不老化，个体均匀，未发芽、变色。</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2）根茎类：茎部不老化，个体均匀，未发芽、变色。</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3）花果类：个体均匀，无腐烂、无变色，允许果型有轻微缺点，但不得变形、过熟。</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4）菇菌类：外形饱满，不发霉、变黑。</w:t>
            </w:r>
          </w:p>
          <w:p>
            <w:pPr>
              <w:pStyle w:val="null3"/>
              <w:ind w:firstLine="367"/>
              <w:jc w:val="left"/>
            </w:pPr>
            <w:r>
              <w:rPr>
                <w:rFonts w:ascii="仿宋_GB2312" w:hAnsi="仿宋_GB2312" w:cs="仿宋_GB2312" w:eastAsia="仿宋_GB2312"/>
                <w:sz w:val="20"/>
                <w:color w:val="0000FF"/>
              </w:rPr>
              <w:t>8.保证不使用过期食品，一切原料、辅料须正规渠道供应。</w:t>
            </w:r>
          </w:p>
          <w:p>
            <w:pPr>
              <w:pStyle w:val="null3"/>
              <w:ind w:firstLine="367"/>
              <w:jc w:val="left"/>
            </w:pPr>
            <w:r>
              <w:rPr>
                <w:rFonts w:ascii="仿宋_GB2312" w:hAnsi="仿宋_GB2312" w:cs="仿宋_GB2312" w:eastAsia="仿宋_GB2312"/>
                <w:sz w:val="20"/>
                <w:b/>
                <w:color w:val="0000FF"/>
              </w:rPr>
              <w:t>（</w:t>
            </w:r>
            <w:r>
              <w:rPr>
                <w:rFonts w:ascii="仿宋_GB2312" w:hAnsi="仿宋_GB2312" w:cs="仿宋_GB2312" w:eastAsia="仿宋_GB2312"/>
                <w:sz w:val="20"/>
                <w:b/>
                <w:color w:val="0000FF"/>
              </w:rPr>
              <w:t>八</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配送要求：</w:t>
            </w:r>
          </w:p>
          <w:p>
            <w:pPr>
              <w:pStyle w:val="null3"/>
              <w:ind w:firstLine="367"/>
              <w:jc w:val="left"/>
            </w:pPr>
            <w:r>
              <w:rPr>
                <w:rFonts w:ascii="仿宋_GB2312" w:hAnsi="仿宋_GB2312" w:cs="仿宋_GB2312" w:eastAsia="仿宋_GB2312"/>
                <w:sz w:val="20"/>
                <w:color w:val="0000FF"/>
              </w:rPr>
              <w:t>1.配送单价的执行过程中，根据蔬菜行业的各种特殊性，要采取随行就市的原则根据采购人要求定期报价。</w:t>
            </w:r>
          </w:p>
          <w:p>
            <w:pPr>
              <w:pStyle w:val="null3"/>
              <w:ind w:firstLine="367"/>
              <w:jc w:val="left"/>
            </w:pPr>
            <w:r>
              <w:rPr>
                <w:rFonts w:ascii="仿宋_GB2312" w:hAnsi="仿宋_GB2312" w:cs="仿宋_GB2312" w:eastAsia="仿宋_GB2312"/>
                <w:sz w:val="20"/>
                <w:color w:val="0000FF"/>
              </w:rPr>
              <w:t>配送单价以西安市发展和改革委员会网站最新发布的西安市</w:t>
            </w:r>
            <w:r>
              <w:rPr>
                <w:rFonts w:ascii="仿宋_GB2312" w:hAnsi="仿宋_GB2312" w:cs="仿宋_GB2312" w:eastAsia="仿宋_GB2312"/>
                <w:sz w:val="20"/>
                <w:color w:val="0000FF"/>
              </w:rPr>
              <w:t>“菜篮子”主要商品价格信息公开表为准、西安市成品粮油市场零售价格监测以全市平均价为准，配送单价不得高于以上价格，西安市发展和改革委员会网站没有的货物以西安市农业农村局网站最新发布的农业服务价格监测公布的批发市场价格（欣桥市场、方欣市场、朱雀批发市场）取平均值为准，上述网站均没有的货物以甲方所在地附近（华润万家、人人乐、永辉超市）的价格取平均值作为配送单价，供应商市场询价后首先经采购人审核确认市场价，再取平均值并经采购人确认后采购。</w:t>
            </w:r>
          </w:p>
          <w:p>
            <w:pPr>
              <w:pStyle w:val="null3"/>
              <w:ind w:firstLine="367"/>
              <w:jc w:val="left"/>
            </w:pPr>
            <w:r>
              <w:rPr>
                <w:rFonts w:ascii="仿宋_GB2312" w:hAnsi="仿宋_GB2312" w:cs="仿宋_GB2312" w:eastAsia="仿宋_GB2312"/>
                <w:sz w:val="20"/>
                <w:color w:val="0000FF"/>
              </w:rPr>
              <w:t>2.供应商要在规定的时间内把蔬菜食品运至指定食堂，以保障食堂的正常运行。</w:t>
            </w:r>
          </w:p>
          <w:p>
            <w:pPr>
              <w:pStyle w:val="null3"/>
              <w:ind w:firstLine="367"/>
              <w:jc w:val="left"/>
            </w:pPr>
            <w:r>
              <w:rPr>
                <w:rFonts w:ascii="仿宋_GB2312" w:hAnsi="仿宋_GB2312" w:cs="仿宋_GB2312" w:eastAsia="仿宋_GB2312"/>
                <w:sz w:val="20"/>
                <w:color w:val="0000FF"/>
              </w:rPr>
              <w:t>3.供应商应针对本项目的采购人员、配送工作人员必须持健康证上岗。</w:t>
            </w:r>
          </w:p>
          <w:p>
            <w:pPr>
              <w:pStyle w:val="null3"/>
              <w:ind w:firstLine="367"/>
              <w:jc w:val="left"/>
            </w:pPr>
            <w:r>
              <w:rPr>
                <w:rFonts w:ascii="仿宋_GB2312" w:hAnsi="仿宋_GB2312" w:cs="仿宋_GB2312" w:eastAsia="仿宋_GB2312"/>
                <w:sz w:val="20"/>
                <w:color w:val="0000FF"/>
              </w:rPr>
              <w:t>4.注重农产品质量，通过配送使健康绿色蔬菜及时送到指定食堂，让职工能轻松体验健康蔬菜食品。</w:t>
            </w:r>
          </w:p>
          <w:p>
            <w:pPr>
              <w:pStyle w:val="null3"/>
              <w:ind w:firstLine="367"/>
              <w:jc w:val="left"/>
            </w:pPr>
            <w:r>
              <w:rPr>
                <w:rFonts w:ascii="仿宋_GB2312" w:hAnsi="仿宋_GB2312" w:cs="仿宋_GB2312" w:eastAsia="仿宋_GB2312"/>
                <w:sz w:val="20"/>
                <w:color w:val="0000FF"/>
              </w:rPr>
              <w:t>5.供应商自备送货车（冷藏或恒温），安排专人及时配送，装卸费、送货费用及运输安全由供应商自行承担。</w:t>
            </w:r>
          </w:p>
          <w:p>
            <w:pPr>
              <w:pStyle w:val="null3"/>
              <w:ind w:firstLine="367"/>
              <w:jc w:val="left"/>
            </w:pPr>
            <w:r>
              <w:rPr>
                <w:rFonts w:ascii="仿宋_GB2312" w:hAnsi="仿宋_GB2312" w:cs="仿宋_GB2312" w:eastAsia="仿宋_GB2312"/>
                <w:sz w:val="20"/>
                <w:color w:val="0000FF"/>
              </w:rPr>
              <w:t>6.米、面、油主食类、干货调味品、杂粮等食材根据食堂需求用量及库存条件，原则上按食堂要求时间送货。</w:t>
            </w:r>
          </w:p>
          <w:p>
            <w:pPr>
              <w:pStyle w:val="null3"/>
              <w:ind w:firstLine="367"/>
              <w:jc w:val="left"/>
            </w:pPr>
            <w:r>
              <w:rPr>
                <w:rFonts w:ascii="仿宋_GB2312" w:hAnsi="仿宋_GB2312" w:cs="仿宋_GB2312" w:eastAsia="仿宋_GB2312"/>
                <w:sz w:val="20"/>
                <w:color w:val="0000FF"/>
              </w:rPr>
              <w:t>7.蔬菜水果、肉类原则上要求每天送货3次，确保蔬菜新鲜。</w:t>
            </w:r>
          </w:p>
          <w:p>
            <w:pPr>
              <w:pStyle w:val="null3"/>
              <w:ind w:firstLine="367"/>
              <w:jc w:val="left"/>
            </w:pPr>
            <w:r>
              <w:rPr>
                <w:rFonts w:ascii="仿宋_GB2312" w:hAnsi="仿宋_GB2312" w:cs="仿宋_GB2312" w:eastAsia="仿宋_GB2312"/>
                <w:sz w:val="20"/>
                <w:color w:val="0000FF"/>
              </w:rPr>
              <w:t>8.乳制品根据职工食堂需求送货。</w:t>
            </w:r>
          </w:p>
          <w:p>
            <w:pPr>
              <w:pStyle w:val="null3"/>
              <w:ind w:firstLine="367"/>
              <w:jc w:val="left"/>
            </w:pPr>
            <w:r>
              <w:rPr>
                <w:rFonts w:ascii="仿宋_GB2312" w:hAnsi="仿宋_GB2312" w:cs="仿宋_GB2312" w:eastAsia="仿宋_GB2312"/>
                <w:sz w:val="20"/>
                <w:color w:val="0000FF"/>
              </w:rPr>
              <w:t>9.特殊情况下，食堂需要的小批量的急用物资，供应商应在2小时以内予以满足解决。</w:t>
            </w:r>
          </w:p>
          <w:p>
            <w:pPr>
              <w:pStyle w:val="null3"/>
              <w:ind w:firstLine="367"/>
              <w:jc w:val="left"/>
            </w:pPr>
            <w:r>
              <w:rPr>
                <w:rFonts w:ascii="仿宋_GB2312" w:hAnsi="仿宋_GB2312" w:cs="仿宋_GB2312" w:eastAsia="仿宋_GB2312"/>
                <w:sz w:val="20"/>
                <w:color w:val="0000FF"/>
              </w:rPr>
              <w:t>10.所有食材供应商必须按照采购人要求的种类、规格进行配送，满足采购人使用需求。所有食材采购均以采购人通知为准，采购人有权根据实际需求量随时调整采购计划及配送时间段。</w:t>
            </w:r>
          </w:p>
          <w:p>
            <w:pPr>
              <w:pStyle w:val="null3"/>
              <w:ind w:firstLine="367"/>
              <w:jc w:val="left"/>
            </w:pPr>
            <w:r>
              <w:rPr>
                <w:rFonts w:ascii="仿宋_GB2312" w:hAnsi="仿宋_GB2312" w:cs="仿宋_GB2312" w:eastAsia="仿宋_GB2312"/>
                <w:sz w:val="20"/>
                <w:color w:val="0000FF"/>
              </w:rPr>
              <w:t>11.供应商每次随货送上一式三份的送货清单，供双方验货后签字确认，采购人两份、供应商一份作为送、收货的凭证。</w:t>
            </w:r>
          </w:p>
          <w:p>
            <w:pPr>
              <w:pStyle w:val="null3"/>
              <w:ind w:firstLine="367"/>
              <w:jc w:val="left"/>
            </w:pPr>
            <w:r>
              <w:rPr>
                <w:rFonts w:ascii="仿宋_GB2312" w:hAnsi="仿宋_GB2312" w:cs="仿宋_GB2312" w:eastAsia="仿宋_GB2312"/>
                <w:sz w:val="20"/>
                <w:color w:val="0000FF"/>
              </w:rPr>
              <w:t>注：</w:t>
            </w:r>
            <w:r>
              <w:rPr>
                <w:rFonts w:ascii="仿宋_GB2312" w:hAnsi="仿宋_GB2312" w:cs="仿宋_GB2312" w:eastAsia="仿宋_GB2312"/>
                <w:sz w:val="20"/>
                <w:color w:val="0000FF"/>
              </w:rPr>
              <w:t>1、供应商所提供服务需满足或优于以上内容；</w:t>
            </w:r>
          </w:p>
          <w:p>
            <w:pPr>
              <w:pStyle w:val="null3"/>
              <w:ind w:firstLine="367"/>
              <w:jc w:val="left"/>
            </w:pPr>
            <w:r>
              <w:rPr>
                <w:rFonts w:ascii="仿宋_GB2312" w:hAnsi="仿宋_GB2312" w:cs="仿宋_GB2312" w:eastAsia="仿宋_GB2312"/>
                <w:sz w:val="20"/>
                <w:color w:val="0000FF"/>
              </w:rPr>
              <w:t>2、以上食材标准有更新的或其他未明确的原材料采购标准，按国家最新的相关标准执行。</w:t>
            </w:r>
          </w:p>
          <w:p>
            <w:pPr>
              <w:pStyle w:val="null3"/>
              <w:ind w:firstLine="367"/>
              <w:jc w:val="left"/>
            </w:pPr>
            <w:r>
              <w:rPr>
                <w:rFonts w:ascii="仿宋_GB2312" w:hAnsi="仿宋_GB2312" w:cs="仿宋_GB2312" w:eastAsia="仿宋_GB2312"/>
                <w:sz w:val="20"/>
                <w:b/>
                <w:color w:val="0000FF"/>
              </w:rPr>
              <w:t>（</w:t>
            </w:r>
            <w:r>
              <w:rPr>
                <w:rFonts w:ascii="仿宋_GB2312" w:hAnsi="仿宋_GB2312" w:cs="仿宋_GB2312" w:eastAsia="仿宋_GB2312"/>
                <w:sz w:val="20"/>
                <w:b/>
                <w:color w:val="0000FF"/>
              </w:rPr>
              <w:t>九</w:t>
            </w:r>
            <w:r>
              <w:rPr>
                <w:rFonts w:ascii="仿宋_GB2312" w:hAnsi="仿宋_GB2312" w:cs="仿宋_GB2312" w:eastAsia="仿宋_GB2312"/>
                <w:sz w:val="20"/>
                <w:b/>
                <w:color w:val="0000FF"/>
              </w:rPr>
              <w:t>）卫生要求</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厨房内配备防蝇、防鼠措施和设施</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连接餐厅的通道干净整洁，地面无积水和油腻，有隔音、隔气装置，设施完好有效</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灶台和橱柜清洁完好，无破损，无油垢，无垃圾，橱柜内各种用具用品摆放有序，无私人用品</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排烟罩清洁完好，罩面、滤油网以及里面的照明灯具均无油垢，有定期擦排烟罩和清洗滤油网的措施</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调料缸干净整洁，各种调料充足，不变质，开餐工作结束时坚持加盖盖好</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砧板清洁，无霉斑积垢，开餐工作结束时，要竖放或置于两面通风处</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刀具清洁无锈迹，有安全地存放</w:t>
            </w:r>
            <w:r>
              <w:rPr>
                <w:rFonts w:ascii="仿宋_GB2312" w:hAnsi="仿宋_GB2312" w:cs="仿宋_GB2312" w:eastAsia="仿宋_GB2312"/>
                <w:sz w:val="20"/>
                <w:color w:val="0000FF"/>
              </w:rPr>
              <w:t>刀具</w:t>
            </w:r>
            <w:r>
              <w:rPr>
                <w:rFonts w:ascii="仿宋_GB2312" w:hAnsi="仿宋_GB2312" w:cs="仿宋_GB2312" w:eastAsia="仿宋_GB2312"/>
                <w:sz w:val="20"/>
                <w:color w:val="0000FF"/>
              </w:rPr>
              <w:t>，并实行个人保管制度</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冰箱</w:t>
            </w:r>
            <w:r>
              <w:rPr>
                <w:rFonts w:ascii="仿宋_GB2312" w:hAnsi="仿宋_GB2312" w:cs="仿宋_GB2312" w:eastAsia="仿宋_GB2312"/>
                <w:sz w:val="20"/>
                <w:color w:val="0000FF"/>
              </w:rPr>
              <w:t>(冰柜、冷藏柜、保鲜柜)清洁完好，有定期的清理和除霜制度,表面无锈迹，无油垢，无破损；冰箱内干净，无积水，无异味，摆放整齐，严格做到鱼肉分开、荤素分开、生热分开、成品和半成品分开；无私人物品，并由专人管理</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冷拼间、面点间坚持做到</w:t>
            </w:r>
            <w:r>
              <w:rPr>
                <w:rFonts w:ascii="仿宋_GB2312" w:hAnsi="仿宋_GB2312" w:cs="仿宋_GB2312" w:eastAsia="仿宋_GB2312"/>
                <w:sz w:val="20"/>
                <w:color w:val="0000FF"/>
              </w:rPr>
              <w:t>“三专”(专间、专人、专用具)、“三严”(严格检查进货、严格分开生熟食品、严格消毒各种用具)、“三不入”(未经洗净的生食品不准入内、非有关的人员不准入内、私人的物品不得带入)，专间内备有“三水”(消毒水、洗涤水、清水)，进入专间实行两次更衣</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所有炊具、盛器、餐具清洁完好，无破损，无油垢</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11）</w:t>
            </w:r>
            <w:r>
              <w:rPr>
                <w:rFonts w:ascii="仿宋_GB2312" w:hAnsi="仿宋_GB2312" w:cs="仿宋_GB2312" w:eastAsia="仿宋_GB2312"/>
                <w:sz w:val="20"/>
                <w:color w:val="0000FF"/>
              </w:rPr>
              <w:t>厨房的四壁、天花板干净整洁、无破损，地面、排水沟、无积水、无油垢、无积尘、无垃圾、无破损</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12）</w:t>
            </w:r>
            <w:r>
              <w:rPr>
                <w:rFonts w:ascii="仿宋_GB2312" w:hAnsi="仿宋_GB2312" w:cs="仿宋_GB2312" w:eastAsia="仿宋_GB2312"/>
                <w:sz w:val="20"/>
                <w:color w:val="0000FF"/>
              </w:rPr>
              <w:t>厨房门窗清洁完好，无油垢、无积尘、无破损</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13）</w:t>
            </w:r>
            <w:r>
              <w:rPr>
                <w:rFonts w:ascii="仿宋_GB2312" w:hAnsi="仿宋_GB2312" w:cs="仿宋_GB2312" w:eastAsia="仿宋_GB2312"/>
                <w:sz w:val="20"/>
                <w:color w:val="0000FF"/>
              </w:rPr>
              <w:t>脚踏式垃圾箱</w:t>
            </w:r>
            <w:r>
              <w:rPr>
                <w:rFonts w:ascii="仿宋_GB2312" w:hAnsi="仿宋_GB2312" w:cs="仿宋_GB2312" w:eastAsia="仿宋_GB2312"/>
                <w:sz w:val="20"/>
                <w:color w:val="0000FF"/>
              </w:rPr>
              <w:t>(桶)加盖盖好，四周无散积垃圾，及时清运</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14）</w:t>
            </w:r>
            <w:r>
              <w:rPr>
                <w:rFonts w:ascii="仿宋_GB2312" w:hAnsi="仿宋_GB2312" w:cs="仿宋_GB2312" w:eastAsia="仿宋_GB2312"/>
                <w:sz w:val="20"/>
                <w:color w:val="0000FF"/>
              </w:rPr>
              <w:t>厨房内四害密度控制在标准要求内，有定期的除害打药措施。</w:t>
            </w:r>
          </w:p>
          <w:p>
            <w:pPr>
              <w:pStyle w:val="null3"/>
              <w:ind w:firstLine="367"/>
              <w:jc w:val="left"/>
            </w:pPr>
            <w:r>
              <w:rPr>
                <w:rFonts w:ascii="仿宋_GB2312" w:hAnsi="仿宋_GB2312" w:cs="仿宋_GB2312" w:eastAsia="仿宋_GB2312"/>
                <w:sz w:val="20"/>
                <w:b/>
                <w:color w:val="0000FF"/>
              </w:rPr>
              <w:t>（</w:t>
            </w:r>
            <w:r>
              <w:rPr>
                <w:rFonts w:ascii="仿宋_GB2312" w:hAnsi="仿宋_GB2312" w:cs="仿宋_GB2312" w:eastAsia="仿宋_GB2312"/>
                <w:sz w:val="20"/>
                <w:b/>
                <w:color w:val="0000FF"/>
              </w:rPr>
              <w:t>十</w:t>
            </w:r>
            <w:r>
              <w:rPr>
                <w:rFonts w:ascii="仿宋_GB2312" w:hAnsi="仿宋_GB2312" w:cs="仿宋_GB2312" w:eastAsia="仿宋_GB2312"/>
                <w:sz w:val="20"/>
                <w:b/>
                <w:color w:val="0000FF"/>
              </w:rPr>
              <w:t>）严格落实监管意见和整改的要求；</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食品安全管理员须认真按照职责要求，组织贯彻落实管理人员和从业人员食品安全知识培训、员工健康管理、索证票据、餐具清洗消毒、综合检查、设备管理</w:t>
            </w:r>
            <w:r>
              <w:rPr>
                <w:rFonts w:ascii="仿宋_GB2312" w:hAnsi="仿宋_GB2312" w:cs="仿宋_GB2312" w:eastAsia="仿宋_GB2312"/>
                <w:sz w:val="20"/>
                <w:color w:val="0000FF"/>
              </w:rPr>
              <w:t>,环境卫生管理等各项食品安全管理制度，并做好相关记录；</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每位员工都要严把食品安全卫生关，拿到出餐台的产品不得出现任何异物，切实做好预防食物中毒的工作；</w:t>
            </w:r>
          </w:p>
          <w:p>
            <w:pPr>
              <w:pStyle w:val="null3"/>
              <w:ind w:firstLine="367"/>
              <w:jc w:val="left"/>
            </w:pPr>
            <w:r>
              <w:rPr>
                <w:rFonts w:ascii="仿宋_GB2312" w:hAnsi="仿宋_GB2312" w:cs="仿宋_GB2312" w:eastAsia="仿宋_GB2312"/>
                <w:sz w:val="28"/>
                <w:b/>
                <w:color w:val="0000FF"/>
              </w:rPr>
              <w:t>三、其他要求</w:t>
            </w:r>
          </w:p>
          <w:p>
            <w:pPr>
              <w:pStyle w:val="null3"/>
            </w:pPr>
            <w:r>
              <w:rPr>
                <w:rFonts w:ascii="仿宋_GB2312" w:hAnsi="仿宋_GB2312" w:cs="仿宋_GB2312" w:eastAsia="仿宋_GB2312"/>
                <w:sz w:val="20"/>
                <w:b/>
                <w:color w:val="0000FF"/>
              </w:rPr>
              <w:t>本项目预算金额为</w:t>
            </w:r>
            <w:r>
              <w:rPr>
                <w:rFonts w:ascii="仿宋_GB2312" w:hAnsi="仿宋_GB2312" w:cs="仿宋_GB2312" w:eastAsia="仿宋_GB2312"/>
                <w:sz w:val="20"/>
                <w:b/>
                <w:color w:val="0000FF"/>
              </w:rPr>
              <w:t>1397760.00</w:t>
            </w:r>
            <w:r>
              <w:rPr>
                <w:rFonts w:ascii="仿宋_GB2312" w:hAnsi="仿宋_GB2312" w:cs="仿宋_GB2312" w:eastAsia="仿宋_GB2312"/>
                <w:sz w:val="20"/>
                <w:b/>
                <w:color w:val="0000FF"/>
              </w:rPr>
              <w:t>元，供应商在首次报价及二次报价中，均须严格按照本项目预算金额</w:t>
            </w:r>
            <w:r>
              <w:rPr>
                <w:rFonts w:ascii="仿宋_GB2312" w:hAnsi="仿宋_GB2312" w:cs="仿宋_GB2312" w:eastAsia="仿宋_GB2312"/>
                <w:sz w:val="20"/>
                <w:b/>
                <w:color w:val="0000FF"/>
              </w:rPr>
              <w:t>1397760.00</w:t>
            </w:r>
            <w:r>
              <w:rPr>
                <w:rFonts w:ascii="仿宋_GB2312" w:hAnsi="仿宋_GB2312" w:cs="仿宋_GB2312" w:eastAsia="仿宋_GB2312"/>
                <w:sz w:val="20"/>
                <w:b/>
                <w:color w:val="0000FF"/>
              </w:rPr>
              <w:t>元填报报价，报价金额与预算金额不一致的，其响应文件将按无效响应处理。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供应商需派一名项目负责人，直接与甲方沟通，负责餐厅现场的监督和协调工作，项目负责人接收甲方提出的问题与要求，及时解决采购人在项目实施过程中遇到的问题；且配备能够完成本项目的相关人员。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设备配置满足本项目需求。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人要求执行，根据所服务的内容并按照所对应的法律法规、规范标准、技术规程等实施，在实施过程中，如果国家或有关部门颁布了新的技术标准或规范，则供应商应采用新的标准或规范进行实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第一阶段合同第一季度结束后，采购人按季度据实结算并支付给供应商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第一阶段合同第二季度结束后，采购人按季度据实结算并支付给供应商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第一阶段合同第三季度结束后，采购人按季度据实结算并支付给供应商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第一阶段合同第四季度结束且项目验收合格后，采购人按季度据实结算并支付给供应商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第二阶段合同第一季度结束后，采购人按季度据实结算并支付给供应商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第二阶段合同第二季度结束后，采购人按季度据实结算并支付给供应商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第二阶段合同第三季度结束后，采购人按季度据实结算并支付给供应商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第二阶段合同第四季度结束且项目验收合格后，采购人按季度据实结算并支付给供应商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一、供应商需要在线提交所有通过电子化交易平台实施的政府采购项目的响应文件 二、供应商的磋商报价是供应商响应磋商项目要求的全部工作内容的价格体现，合同金额即中标价，合同价格为含税价，提供服务所发生的一切费用（包括但不限于场地、设备、材料、食材采购、水电燃气费、人员工资、养老保险、失业险、工伤险、医疗和大病险、生育险、节假日福利、工作服费、管理费、服务费、招标代理服务费、利润、税金、风险等所需的全部费用）等都已包含于合同价款中。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分公司独立参与投标时，不能使用总公司的资质或业绩；总公司授权分公司或分支机构参与投标，可以使用总公司的资质或业绩。总公司单独参与投标时，可以使用分公司的业绩，在相关资质证书的管理要求和适用范围内可以使用分公司资质。六、签名是指手写签名或加盖签名章(含电子)，盖章是指加盖单位章。七、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两套，应通过专用制作软件直接打印，确保与电子投标文件保持一致，不允许修改和补充。提交地点：陕西省西安市雁塔区雁翔路111号赛格·中京坊6幢1单元2层10201室。八、最终报价如出现异常低价，执行财库〔2026〕2号《关于推动解决政府采购异常低价问题的通知》，磋商小组可在最后报价审查表中审核是否通过审查。九、采购人应按照磋商文件和成交供应商响应文件，在成交通知书发出之日起25日内与成交供应商签订采购合同，并进行备案和公示。十、关于采购文件一次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注：本项目资格审查小组，由1名采购人代表和2名采购代理机构工作人员组成，采购代理机构项目经理担任资格审查小组组长，资格审查小组成立后，全体小组成员应当在签到表中签到。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（1）供应商是企业法人的，应提供2023或2024全年度经审计的供应商财务报告，包括 “四表一注”即《资产负债表》《利润表》《现金流量表》《所有者权益变动表》及其附注，或者提交响应文件截止时间前3个月内其基本账户开户银行出具的资信证明（附基本存款账户信息），供应商是小型企业的，应提供2023或2024全年度经审计的供应商财务报告，至少包括 《资产负债表》《利润表》《现金流量表》及其附注，或者提交响应文件截止时间前3个月内其基本账户开户银行出具的资信证明（附基本存款账户信息）；财政部关于印发《小企业会计准则》的通知（财会〔2011〕17号）； （2）部分其他组织和自然人，提供提交响应文件截止时间前3个月内银行出具的资信证明（附账户信息）； （3）供应商是民办非企业单位的，应提供2023或2024全年度经审计的供应商财务报告，包括《资产负债表》《业务活动表》《现金流量表》及其附注或者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响应文件封面 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资格证明部分.docx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特定资格要求如下</w:t>
            </w:r>
          </w:p>
        </w:tc>
        <w:tc>
          <w:tcPr>
            <w:tcW w:type="dxa" w:w="3322"/>
          </w:tcPr>
          <w:p>
            <w:pPr>
              <w:pStyle w:val="null3"/>
            </w:pPr>
            <w:r>
              <w:rPr>
                <w:rFonts w:ascii="仿宋_GB2312" w:hAnsi="仿宋_GB2312" w:cs="仿宋_GB2312" w:eastAsia="仿宋_GB2312"/>
              </w:rPr>
              <w:t>(1)供应商的营业执照等证明文件，自然人的身份证明； (2)法定代表人（单位负责人）参加磋商的，提供本人身份证复印件；法定代表人（单位负责人）授权他人参加磋商的，提供法定代表人（单位负责人）委托授权书并出示被授权代表的身份证复印件以及2025年1月至今任意时段在本单位注册的已缴纳的社会保障资金缴存单据或社保机构开具的社会保险参保缴费情况证明；按照电子化全流程要求，投标（响应）文件递交时，签到的人员信息应为法定代表人或授权委托人。 (3)提供2023年度或2024年度经审计的财务会计报告或其提交响应文件截止时间前3个月内银行出具的资信证明。 (4)提供供应商2025年1月至今已缴纳任意时段任意税种完税凭证或税务机关开具的完税证明（个人所得税除外）；依法免税的应提供相关文件证明； (5)提供供应商2025年1月至今任意时段已缴纳的社会保障资金缴存单据或社保机构开具的社会保险参保缴费情况证明；依法不需要缴纳社会保障资金的应提供相关文件证明； (6)具备履行合同所必需的设备和专业技术能力的证明； (7)参加本次磋商前3年内，在经营活动中没有重大违法记录的书面声明； (8)供应商不得被列入“信用中国”网站（https://www.creditchina.gov.cn/ ）“失信被执行人”（页面跳转至“中国执行信息公开网”http://zxgk.court.gov.cn/shixin/）、“重大税收违法失信主体”；不得处于中国政府采购网（http://www.ccgp.gov.cn/)“政府采购严重违法失信行为信息记录”中的禁止参加政府采购活动期间； (9)单位负责人为同一人或者存在直接控股、管理关系的不同供应商，不得参加同一合同项下的采购活动； (10)须提供有效的《食品经营许可证》； (11)本项目不接受联合体磋商。</w:t>
            </w:r>
          </w:p>
        </w:tc>
        <w:tc>
          <w:tcPr>
            <w:tcW w:type="dxa" w:w="1661"/>
          </w:tcPr>
          <w:p>
            <w:pPr>
              <w:pStyle w:val="null3"/>
            </w:pPr>
            <w:r>
              <w:rPr>
                <w:rFonts w:ascii="仿宋_GB2312" w:hAnsi="仿宋_GB2312" w:cs="仿宋_GB2312" w:eastAsia="仿宋_GB2312"/>
              </w:rPr>
              <w:t>响应文件封面 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资格证明部分.docx 标的清单 报价表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资格证明部分.docx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具有2021年1月1日至今的类似业绩(以合同签订日期为准)，业绩以合同复印件为依据。每个业绩计2.5分，2个以上(含2个)计5分。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现场运营管理方案</w:t>
            </w:r>
          </w:p>
        </w:tc>
        <w:tc>
          <w:tcPr>
            <w:tcW w:type="dxa" w:w="2492"/>
          </w:tcPr>
          <w:p>
            <w:pPr>
              <w:pStyle w:val="null3"/>
            </w:pPr>
            <w:r>
              <w:rPr>
                <w:rFonts w:ascii="仿宋_GB2312" w:hAnsi="仿宋_GB2312" w:cs="仿宋_GB2312" w:eastAsia="仿宋_GB2312"/>
              </w:rPr>
              <w:t>现场运营管理方案（15分）： 一评审内容、 供应商针对本项目提供的现场运营管理方案，包括但不限于： ①餐品供应及质量控制； ②食材原料供应链搭建与管理； ③食品安全； ④餐厅设施设备的保管与维护； ⑤餐厅环境质量、服务质量 二、评审标准 1、完善性：方案必须全面，对评审内容中的各项要求有详细阐述； 2、可实施性：切合本项目实际情况，提出步骤清晰、合理的方案； 3、针对性：方案能够紧扣项目实际情况，内容合理。 三、赋分依据（满分15分） 根据评审内容中①至⑤项：每完全满足一个评审标准得1分，每项提供不全得或有缺陷得0.5分，单项满分3分，未提供得0分。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经营管理服务方案</w:t>
            </w:r>
          </w:p>
        </w:tc>
        <w:tc>
          <w:tcPr>
            <w:tcW w:type="dxa" w:w="2492"/>
          </w:tcPr>
          <w:p>
            <w:pPr>
              <w:pStyle w:val="null3"/>
            </w:pPr>
            <w:r>
              <w:rPr>
                <w:rFonts w:ascii="仿宋_GB2312" w:hAnsi="仿宋_GB2312" w:cs="仿宋_GB2312" w:eastAsia="仿宋_GB2312"/>
              </w:rPr>
              <w:t>经营管理服务方案（15分）： 一、评审内容 供应商针对本项目提供经营管理服务方案，包括但不限于： ①餐厅组织管理； ②餐厅人员培训； ③餐厅菜品研发及出品方案； ④餐厅管理理念； ⑤问题自查反馈整改方案； 二、评审标准 1、完善性：方案必须全面，对评审内容中的各项要求有详细阐述； 2、可实施性：切合本项目实际情况，提出步骤清晰、合理的方案； 3、针对性：方案能够紧扣项目实际情况，内容合理。 三、赋分依据（满分15分） 根据评审内容中①至⑤项：每完全满足一个评审标准得1分，每项提供不全得或有缺陷得0.5分，单项满分3分，未提供得0分。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菜品保障方案</w:t>
            </w:r>
          </w:p>
        </w:tc>
        <w:tc>
          <w:tcPr>
            <w:tcW w:type="dxa" w:w="2492"/>
          </w:tcPr>
          <w:p>
            <w:pPr>
              <w:pStyle w:val="null3"/>
            </w:pPr>
            <w:r>
              <w:rPr>
                <w:rFonts w:ascii="仿宋_GB2312" w:hAnsi="仿宋_GB2312" w:cs="仿宋_GB2312" w:eastAsia="仿宋_GB2312"/>
              </w:rPr>
              <w:t>菜品保障方案（12分）： 一评审内容、 供应商针对本项目提供菜品保障方案，包括但不限于： ①饭菜品种； ②食谱营养、口味的合理搭配； ③菜品开发品种多样化； ④产品检验及食品安全若未达标或未按时按量供应等问题的保障措施和处理办法； 二、评审标准 1、完善性：方案必须全面，对评审内容中的各项要求有详细阐述； 2、可实施性：切合本项目实际情况，提出步骤清晰、合理的方案； 3、针对性：方案能够紧扣项目实际情况，内容合理。 三、赋分依据（满分12分） 根据评审内容中①至④项：每完全满足一个评审标准得1分，每项提供不全得或有缺陷得0.5分，单项满分3分，未提供得0分。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管理方案（12分）： 一评审内容、 供应商针对本项目提供管理方案，包括但不限于： ①食品样品留样； ②食品卫生管理； ③餐厅安全设施； ④安全、消防演练； 二、评审标准 1、完善性：方案必须全面，对评审内容中的各项要求有详细阐述； 2、可实施性：切合本项目实际情况，提出步骤清晰、合理的方案； 3、针对性：方案能够紧扣项目实际情况，内容合理。 三、赋分依据（满分12分） 根据评审内容中①至④项：每完全满足一个评审标准得1分，每项提供不全得或有缺陷得0.5分，单项满分3分，未提供得0分。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配送方案（15分）： 一评审内容、 供应商针对本项目提供配送方案，包括但不限于： ① 主食类食材配送标准（大米、食用油、面粉等符合对应国标、保质期内、带SC标志）； ② 副食品及半成品配送标准（副食品、调味品、鸡蛋、饮用奶、豆制品等符合国标、保质期要求、带SC标志）； ③ 生鲜类食材配送标准（鲜肉类检疫合格、蔬菜新鲜无劣变且符合农残标准等）； ④ 基础配送规范（配送单价执行原则、按时配送、人员持健康证、自备专用送货车、费用自行承担、按需求调整采购计划）； ⑤ 专项配送要求（分品类配送频次、应急配送、按规格配送、送货清单管理）； 二、评审标准 3、完善性：方案必须全面，对评审内容中的各项要求有详细阐述； 4、可实施性：切合本项目实际情况，提出步骤清晰、合理的方案； 3、针对性：方案能够紧扣项目实际情况，内容合理。 三、赋分依据（满分15分） 根据评审内容中①至⑤项：每完全满足一个评审标准得1分，每项提供不全得或有缺陷得0.5分，单项满分3分，未提供得0分。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安全事故应急方案（满分4分）： 1、安全事故应急方案合理，描述清晰，且能针对性满足项目需求的得4分； 2、安全事故应急方案合理，但陈述简单，缺乏针对性的得3分； 3、安全事故应急方案笼统，但基本满足采购需求的得2分； 4、虽进行了陈述，但陈述内容缺失严重，或未结合项目情况进行论述，偏差明显的得1分 5、未提供得0分。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设备、工具配备方案</w:t>
            </w:r>
          </w:p>
        </w:tc>
        <w:tc>
          <w:tcPr>
            <w:tcW w:type="dxa" w:w="2492"/>
          </w:tcPr>
          <w:p>
            <w:pPr>
              <w:pStyle w:val="null3"/>
            </w:pPr>
            <w:r>
              <w:rPr>
                <w:rFonts w:ascii="仿宋_GB2312" w:hAnsi="仿宋_GB2312" w:cs="仿宋_GB2312" w:eastAsia="仿宋_GB2312"/>
              </w:rPr>
              <w:t>设备、工具配备方案（满分4分） ： 1、方案合理，描述清晰，且能针对性满足项目需求的得4分； 2、方案合理，但陈述简单，缺乏针对性的得3分； 3、方案笼统，但基本满足采购需求的得2分； 4、方案缺失严重，或未结合项目情况进行论述得1分； 5、未提供得0分。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人员分配方案</w:t>
            </w:r>
          </w:p>
        </w:tc>
        <w:tc>
          <w:tcPr>
            <w:tcW w:type="dxa" w:w="2492"/>
          </w:tcPr>
          <w:p>
            <w:pPr>
              <w:pStyle w:val="null3"/>
            </w:pPr>
            <w:r>
              <w:rPr>
                <w:rFonts w:ascii="仿宋_GB2312" w:hAnsi="仿宋_GB2312" w:cs="仿宋_GB2312" w:eastAsia="仿宋_GB2312"/>
              </w:rPr>
              <w:t>人员分配方案（满分4分） ： 1、人员安排合理，描述清晰，且能针对性满足项目需求的得4分； 2、方案合理，但陈述简单，缺乏针对性的得3分； 3、方案笼统，但基本满足采购需求的得2分； 4、方案缺失严重，或未结合项目情况进行论述得1分； 5、未提供得0分。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针对本项目有详细的服务承诺：（满分4分）： 建立完善的技术支持体系，在合同履行过程中为采购人提供的服务质量及对后期的技术指导等方面作出书面承诺： 1、服务承诺合理，描述清晰，且能针对性满足项目需求的得4分； 2、服务承诺合理，但陈述简单，缺乏针对性的得3分； 3、方案笼统，但基本满足采购需求的得2分； 4、服务承诺笼统的得1分； 5、未提供得0分。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 注：1、本项目预算金额为1397760.00元，供应商在首次报价及二次报价中，均须严格按照本项目预算金额1397760.00元填报报价，报价金额与预算金额不一致的，其响应文件将按无效响应处理。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