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版本号：CGZC-2025-24720260130001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中欧班列港区一体化综合场地一期项目（铲青及垃圾清运)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CGZC-2025-247</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中欧班列港区一体化综合场地一期项目（铲青及垃圾清运)</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CGZC-2025-247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中欧班列港区一体化综合场地一期项目（铲青及垃圾清运)</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中欧班列港区一体化综合场地一期项目(铲青及垃圾清运)，具体内容详见第三章。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采购包1（中欧班列港区一体化综合场地一期项目(铲青及垃圾清运)）：属于专门面向中小企业采购。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w:t>
      </w:r>
    </w:p>
    <w:p>
      <w:pPr>
        <w:pStyle w:val="null3"/>
      </w:pPr>
      <w:r>
        <w:rPr>
          <w:rFonts w:ascii="仿宋_GB2312" w:hAnsi="仿宋_GB2312" w:cs="仿宋_GB2312" w:eastAsia="仿宋_GB2312"/>
        </w:rPr>
        <w:t>3、法定代表人授权委托书/身份证明：供应商应授权合法的人员参加磋商全过程，其中法定代表人直接参加磋商的，须出具法 定代表人身份证，并与营业执照上信息一致。法定代表人授权代表参加磋商的，须出具法定代表人授权书及授权代表身份证，授权代表须提供近六个月中任一个月缴纳社保证明复印件并加盖单位公章；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5、资质要求：供应商具有建筑工程施工总承包三级（含三级）及以上资质（或调整后的同等级资质），并提供有效的安全生产许可证；</w:t>
      </w:r>
    </w:p>
    <w:p>
      <w:pPr>
        <w:pStyle w:val="null3"/>
      </w:pPr>
      <w:r>
        <w:rPr>
          <w:rFonts w:ascii="仿宋_GB2312" w:hAnsi="仿宋_GB2312" w:cs="仿宋_GB2312" w:eastAsia="仿宋_GB2312"/>
        </w:rPr>
        <w:t>6、项目经理：项目经理须具备建筑工程专业二级及以上建造师资格,具有有效的安全生产考核合格证书（建安 B 证），且未担任其他在建工程项目的项目经理声明；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西安市灞桥区新筑街道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采购包1：1,393,037.50元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代理服务费收费标准：按照国家计委颁布的《招标代理服务收费管理暂行办法》（计价格『2002』1980号）及发改办价格『2003』857号文规定按工程类收取代理服务费。 银行户名：华晟国际项目管理有限公司 开户银行：建设银行西安劳动路支行 账 号：610501 740015 00000 427 转账事由：CGZC-2025-247项目代理服务费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符合国家相关规定及标准，详见合同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1,393,037.50</w:t>
      </w:r>
    </w:p>
    <w:p>
      <w:pPr>
        <w:pStyle w:val="null3"/>
      </w:pPr>
      <w:r>
        <w:rPr>
          <w:rFonts w:ascii="仿宋_GB2312" w:hAnsi="仿宋_GB2312" w:cs="仿宋_GB2312" w:eastAsia="仿宋_GB2312"/>
        </w:rPr>
        <w:t>采购包最高限价（元）: 1,393,037.50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中欧班列港区一体化综合场地一期项目（铲青及垃圾清运)</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1,393,037.50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标的名称：中欧班列港区一体化综合场地一期项目（铲青及垃圾清运)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中欧班列港区一体化综合场地一期项目涉及杨庄村铲青</w:t>
            </w:r>
            <w:r>
              <w:rPr>
                <w:rFonts w:ascii="仿宋_GB2312" w:hAnsi="仿宋_GB2312" w:cs="仿宋_GB2312" w:eastAsia="仿宋_GB2312"/>
                <w:sz w:val="24"/>
                <w:color w:val="000000"/>
              </w:rPr>
              <w:t>122.025亩；垃圾清运预估方量2.2万m³。具体以实际测量结果为准。</w:t>
            </w:r>
          </w:p>
          <w:p>
            <w:pPr>
              <w:pStyle w:val="null3"/>
              <w:jc w:val="left"/>
            </w:pPr>
            <w:r>
              <w:rPr>
                <w:rFonts w:ascii="仿宋_GB2312" w:hAnsi="仿宋_GB2312" w:cs="仿宋_GB2312" w:eastAsia="仿宋_GB2312"/>
                <w:sz w:val="24"/>
                <w:b/>
                <w:color w:val="000000"/>
              </w:rPr>
              <w:t>二、工程内容</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施工地点、计划工期</w:t>
            </w:r>
            <w:r>
              <w:rPr>
                <w:rFonts w:ascii="仿宋_GB2312" w:hAnsi="仿宋_GB2312" w:cs="仿宋_GB2312" w:eastAsia="仿宋_GB2312"/>
                <w:sz w:val="24"/>
                <w:b/>
                <w:color w:val="000000"/>
              </w:rPr>
              <w:t>及质量标准</w:t>
            </w:r>
          </w:p>
          <w:p>
            <w:pPr>
              <w:pStyle w:val="null3"/>
              <w:ind w:firstLine="480"/>
              <w:jc w:val="left"/>
            </w:pPr>
            <w:r>
              <w:rPr>
                <w:rFonts w:ascii="仿宋_GB2312" w:hAnsi="仿宋_GB2312" w:cs="仿宋_GB2312" w:eastAsia="仿宋_GB2312"/>
                <w:sz w:val="24"/>
                <w:color w:val="000000"/>
              </w:rPr>
              <w:t>1.工程内容：</w:t>
            </w:r>
            <w:r>
              <w:rPr>
                <w:rFonts w:ascii="仿宋_GB2312" w:hAnsi="仿宋_GB2312" w:cs="仿宋_GB2312" w:eastAsia="仿宋_GB2312"/>
                <w:sz w:val="24"/>
                <w:color w:val="000000"/>
              </w:rPr>
              <w:t>铲青</w:t>
            </w:r>
            <w:r>
              <w:rPr>
                <w:rFonts w:ascii="仿宋_GB2312" w:hAnsi="仿宋_GB2312" w:cs="仿宋_GB2312" w:eastAsia="仿宋_GB2312"/>
                <w:sz w:val="24"/>
                <w:color w:val="000000"/>
              </w:rPr>
              <w:t>及</w:t>
            </w:r>
            <w:r>
              <w:rPr>
                <w:rFonts w:ascii="仿宋_GB2312" w:hAnsi="仿宋_GB2312" w:cs="仿宋_GB2312" w:eastAsia="仿宋_GB2312"/>
                <w:sz w:val="24"/>
                <w:color w:val="000000"/>
              </w:rPr>
              <w:t>垃圾清运</w:t>
            </w:r>
          </w:p>
          <w:p>
            <w:pPr>
              <w:pStyle w:val="null3"/>
              <w:ind w:firstLine="480"/>
              <w:jc w:val="left"/>
            </w:pPr>
            <w:r>
              <w:rPr>
                <w:rFonts w:ascii="仿宋_GB2312" w:hAnsi="仿宋_GB2312" w:cs="仿宋_GB2312" w:eastAsia="仿宋_GB2312"/>
                <w:sz w:val="24"/>
                <w:color w:val="000000"/>
              </w:rPr>
              <w:t>2.施工地点：采购人指定地点</w:t>
            </w:r>
          </w:p>
          <w:p>
            <w:pPr>
              <w:pStyle w:val="null3"/>
              <w:ind w:firstLine="480"/>
              <w:jc w:val="left"/>
            </w:pPr>
            <w:r>
              <w:rPr>
                <w:rFonts w:ascii="仿宋_GB2312" w:hAnsi="仿宋_GB2312" w:cs="仿宋_GB2312" w:eastAsia="仿宋_GB2312"/>
                <w:sz w:val="24"/>
                <w:color w:val="000000"/>
              </w:rPr>
              <w:t>3.计划工期：自合同签订之日起30个日历日</w:t>
            </w:r>
          </w:p>
          <w:p>
            <w:pPr>
              <w:pStyle w:val="null3"/>
              <w:ind w:firstLine="480"/>
              <w:jc w:val="left"/>
            </w:pPr>
            <w:r>
              <w:rPr>
                <w:rFonts w:ascii="仿宋_GB2312" w:hAnsi="仿宋_GB2312" w:cs="仿宋_GB2312" w:eastAsia="仿宋_GB2312"/>
                <w:sz w:val="24"/>
                <w:color w:val="000000"/>
              </w:rPr>
              <w:t>4.质量标准：合格</w:t>
            </w:r>
          </w:p>
          <w:p>
            <w:pPr>
              <w:pStyle w:val="null3"/>
              <w:jc w:val="left"/>
            </w:pPr>
            <w:r>
              <w:rPr>
                <w:rFonts w:ascii="仿宋_GB2312" w:hAnsi="仿宋_GB2312" w:cs="仿宋_GB2312" w:eastAsia="仿宋_GB2312"/>
                <w:sz w:val="24"/>
                <w:b/>
                <w:color w:val="000000"/>
              </w:rPr>
              <w:t>三、工程量清单</w:t>
            </w:r>
          </w:p>
          <w:tbl>
            <w:tblPr>
              <w:tblBorders>
                <w:top w:val="none" w:color="000000" w:sz="4"/>
                <w:left w:val="none" w:color="000000" w:sz="4"/>
                <w:bottom w:val="none" w:color="000000" w:sz="4"/>
                <w:right w:val="none" w:color="000000" w:sz="4"/>
                <w:insideH w:val="none"/>
                <w:insideV w:val="none"/>
              </w:tblBorders>
            </w:tblPr>
            <w:tblGrid>
              <w:gridCol w:w="311"/>
              <w:gridCol w:w="633"/>
              <w:gridCol w:w="572"/>
              <w:gridCol w:w="591"/>
              <w:gridCol w:w="445"/>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清单项目</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暂定工程量</w:t>
                  </w:r>
                </w:p>
              </w:tc>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含税完全综合单价最高限价</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铲青</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122.025亩</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1500元/亩</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垃圾清运</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2.2万m³</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55元/m³</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color w:val="000000"/>
              </w:rPr>
              <w:t>注：本工程量为</w:t>
            </w:r>
            <w:r>
              <w:rPr>
                <w:rFonts w:ascii="仿宋_GB2312" w:hAnsi="仿宋_GB2312" w:cs="仿宋_GB2312" w:eastAsia="仿宋_GB2312"/>
                <w:sz w:val="24"/>
                <w:b/>
                <w:color w:val="000000"/>
              </w:rPr>
              <w:t>暂</w:t>
            </w:r>
            <w:r>
              <w:rPr>
                <w:rFonts w:ascii="仿宋_GB2312" w:hAnsi="仿宋_GB2312" w:cs="仿宋_GB2312" w:eastAsia="仿宋_GB2312"/>
                <w:sz w:val="24"/>
                <w:b/>
                <w:color w:val="000000"/>
              </w:rPr>
              <w:t>定数量，最终以实际工程量</w:t>
            </w:r>
            <w:r>
              <w:rPr>
                <w:rFonts w:ascii="仿宋_GB2312" w:hAnsi="仿宋_GB2312" w:cs="仿宋_GB2312" w:eastAsia="仿宋_GB2312"/>
                <w:sz w:val="24"/>
                <w:b/>
                <w:color w:val="000000"/>
              </w:rPr>
              <w:t>据实</w:t>
            </w:r>
            <w:r>
              <w:rPr>
                <w:rFonts w:ascii="仿宋_GB2312" w:hAnsi="仿宋_GB2312" w:cs="仿宋_GB2312" w:eastAsia="仿宋_GB2312"/>
                <w:sz w:val="24"/>
                <w:b/>
                <w:color w:val="000000"/>
              </w:rPr>
              <w:t>结算。</w:t>
            </w:r>
          </w:p>
          <w:p>
            <w:pPr>
              <w:pStyle w:val="null3"/>
              <w:jc w:val="left"/>
            </w:pPr>
            <w:r>
              <w:rPr>
                <w:rFonts w:ascii="仿宋_GB2312" w:hAnsi="仿宋_GB2312" w:cs="仿宋_GB2312" w:eastAsia="仿宋_GB2312"/>
                <w:sz w:val="24"/>
                <w:b/>
                <w:color w:val="000000"/>
              </w:rPr>
              <w:t>四、施工要求</w:t>
            </w:r>
          </w:p>
          <w:p>
            <w:pPr>
              <w:pStyle w:val="null3"/>
              <w:ind w:firstLine="480"/>
              <w:jc w:val="left"/>
            </w:pPr>
            <w:r>
              <w:rPr>
                <w:rFonts w:ascii="仿宋_GB2312" w:hAnsi="仿宋_GB2312" w:cs="仿宋_GB2312" w:eastAsia="仿宋_GB2312"/>
                <w:sz w:val="24"/>
                <w:color w:val="000000"/>
              </w:rPr>
              <w:t>1.供应商必须配备足够的人员和充足的机械设备进入实施，确保按时保质保量完成任务。</w:t>
            </w:r>
          </w:p>
          <w:p>
            <w:pPr>
              <w:pStyle w:val="null3"/>
              <w:ind w:firstLine="480"/>
              <w:jc w:val="left"/>
            </w:pPr>
            <w:r>
              <w:rPr>
                <w:rFonts w:ascii="仿宋_GB2312" w:hAnsi="仿宋_GB2312" w:cs="仿宋_GB2312" w:eastAsia="仿宋_GB2312"/>
                <w:sz w:val="24"/>
                <w:color w:val="000000"/>
              </w:rPr>
              <w:t>2.必须严密组织，文明施工，作好四周维护及安全环保措施，所需费用由供应商承担，施工过程必须严格遵守政府相关规定。</w:t>
            </w:r>
          </w:p>
          <w:p>
            <w:pPr>
              <w:pStyle w:val="null3"/>
              <w:ind w:firstLine="480"/>
              <w:jc w:val="left"/>
            </w:pPr>
            <w:r>
              <w:rPr>
                <w:rFonts w:ascii="仿宋_GB2312" w:hAnsi="仿宋_GB2312" w:cs="仿宋_GB2312" w:eastAsia="仿宋_GB2312"/>
                <w:sz w:val="24"/>
                <w:color w:val="000000"/>
              </w:rPr>
              <w:t>3.严格遵守西安市关于控制扬尘污染、治污减霾的相关规定，并承担一切安全事故或违规处罚所带来的经济及法律责任。</w:t>
            </w:r>
          </w:p>
          <w:p>
            <w:pPr>
              <w:pStyle w:val="null3"/>
              <w:ind w:firstLine="480"/>
              <w:jc w:val="left"/>
            </w:pPr>
            <w:r>
              <w:rPr>
                <w:rFonts w:ascii="仿宋_GB2312" w:hAnsi="仿宋_GB2312" w:cs="仿宋_GB2312" w:eastAsia="仿宋_GB2312"/>
                <w:sz w:val="24"/>
                <w:color w:val="000000"/>
              </w:rPr>
              <w:t>4.在施工前，供应商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垃圾清运全部采用机械清运的施工方法，严禁人工清运。</w:t>
            </w:r>
          </w:p>
          <w:p>
            <w:pPr>
              <w:pStyle w:val="null3"/>
              <w:ind w:firstLine="480"/>
              <w:jc w:val="left"/>
            </w:pPr>
            <w:r>
              <w:rPr>
                <w:rFonts w:ascii="仿宋_GB2312" w:hAnsi="仿宋_GB2312" w:cs="仿宋_GB2312" w:eastAsia="仿宋_GB2312"/>
                <w:sz w:val="24"/>
                <w:color w:val="000000"/>
              </w:rPr>
              <w:t>供应商在铲青和垃圾外运中应严格遵守关于治污减霾相关规定，服从相关部门管理，严格做好治污减霾工作。严格按照城市管理部门指定的运输路线和倾倒场地清运，采用封闭运输，不得冒尖装载、不得沿路抛洒。</w:t>
            </w:r>
          </w:p>
          <w:p>
            <w:pPr>
              <w:pStyle w:val="null3"/>
              <w:ind w:firstLine="480"/>
              <w:jc w:val="left"/>
            </w:pPr>
            <w:r>
              <w:rPr>
                <w:rFonts w:ascii="仿宋_GB2312" w:hAnsi="仿宋_GB2312" w:cs="仿宋_GB2312" w:eastAsia="仿宋_GB2312"/>
                <w:sz w:val="24"/>
                <w:color w:val="000000"/>
              </w:rPr>
              <w:t>5.供应商必须严格按照治污减霾工作要求，按城市管理部门要求完成施工出入口冲洗台、限高栏、联网监控和环境监测设备等设施施工、安装，负责场内垃圾，裸露黄土覆盖、道路冲洗等工作，并承担相关费用，同时，需根据政府相关部门要求，完成渣土和垃圾外运相关手续办理后方可进场施工。施工过程中，应无条件响应各级管理部门，采购人各项管理规定，要求停工时必须立即停工，如因供应商私自作业，不按要求施工等情况由供应商承担全部责任，由此产生的全部费用由供应商承担。</w:t>
            </w:r>
          </w:p>
          <w:p>
            <w:pPr>
              <w:pStyle w:val="null3"/>
              <w:ind w:firstLine="480"/>
              <w:jc w:val="left"/>
            </w:pPr>
            <w:r>
              <w:rPr>
                <w:rFonts w:ascii="仿宋_GB2312" w:hAnsi="仿宋_GB2312" w:cs="仿宋_GB2312" w:eastAsia="仿宋_GB2312"/>
                <w:sz w:val="24"/>
                <w:color w:val="000000"/>
              </w:rPr>
              <w:t>6.供应商负责现场安全管理工作，并承担全部责任及由此产生的全部费用，现场人员由供应商按照相关规定办理相关保险事宜。</w:t>
            </w:r>
          </w:p>
          <w:p>
            <w:pPr>
              <w:pStyle w:val="null3"/>
              <w:ind w:firstLine="480"/>
              <w:jc w:val="left"/>
            </w:pPr>
            <w:r>
              <w:rPr>
                <w:rFonts w:ascii="仿宋_GB2312" w:hAnsi="仿宋_GB2312" w:cs="仿宋_GB2312" w:eastAsia="仿宋_GB2312"/>
                <w:sz w:val="24"/>
                <w:color w:val="000000"/>
              </w:rPr>
              <w:t>7.铲青、垃圾清运，使项目用地达到自然平整。垃圾清运最终达到全部垃圾清运完毕，现场无任何遗留物（最后以采购人、成交供应商共同验收合格，签字确认为准）。</w:t>
            </w:r>
          </w:p>
          <w:p>
            <w:pPr>
              <w:pStyle w:val="null3"/>
              <w:jc w:val="left"/>
            </w:pPr>
            <w:r>
              <w:rPr>
                <w:rFonts w:ascii="仿宋_GB2312" w:hAnsi="仿宋_GB2312" w:cs="仿宋_GB2312" w:eastAsia="仿宋_GB2312"/>
                <w:sz w:val="24"/>
                <w:b/>
                <w:color w:val="000000"/>
              </w:rPr>
              <w:t>五、其他</w:t>
            </w:r>
            <w:r>
              <w:rPr>
                <w:rFonts w:ascii="仿宋_GB2312" w:hAnsi="仿宋_GB2312" w:cs="仿宋_GB2312" w:eastAsia="仿宋_GB2312"/>
                <w:sz w:val="24"/>
                <w:b/>
                <w:color w:val="000000"/>
              </w:rPr>
              <w:t>要求</w:t>
            </w:r>
          </w:p>
          <w:p>
            <w:pPr>
              <w:pStyle w:val="null3"/>
              <w:jc w:val="left"/>
            </w:pPr>
            <w:r>
              <w:rPr>
                <w:rFonts w:ascii="仿宋_GB2312" w:hAnsi="仿宋_GB2312" w:cs="仿宋_GB2312" w:eastAsia="仿宋_GB2312"/>
                <w:sz w:val="24"/>
                <w:color w:val="000000"/>
              </w:rPr>
              <w:t>1.安全要求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1）供应商应制定可靠的施工方案和安全事故应急救援方案，采取有效安全防护措施，确保无安全事故发生。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2）按规定配备专职安全员。现场项目经理和专职安全员必须持有安全生产考核合格证。各作业班组长和施工作业人员必须经安全技术培训方可上岗。</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3）机械施工、运输严格遵守《建筑机械使用安全技术规程》，机械操作、驾驶人员必须持证上岗。</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4）运输车辆驾驶人员应严格遵守《道路交通安全法》及相关法规，确保安全运输。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5）及时向采购人以书面形式汇报铲青及垃圾清运进度、工程量及安全情况。</w:t>
            </w:r>
          </w:p>
          <w:p>
            <w:pPr>
              <w:pStyle w:val="null3"/>
              <w:jc w:val="left"/>
            </w:pPr>
            <w:r>
              <w:rPr>
                <w:rFonts w:ascii="仿宋_GB2312" w:hAnsi="仿宋_GB2312" w:cs="仿宋_GB2312" w:eastAsia="仿宋_GB2312"/>
                <w:sz w:val="24"/>
                <w:color w:val="000000"/>
              </w:rPr>
              <w:t>2.技术规范及要求</w:t>
            </w:r>
          </w:p>
          <w:p>
            <w:pPr>
              <w:pStyle w:val="null3"/>
              <w:ind w:firstLine="480"/>
              <w:jc w:val="left"/>
            </w:pPr>
            <w:r>
              <w:rPr>
                <w:rFonts w:ascii="仿宋_GB2312" w:hAnsi="仿宋_GB2312" w:cs="仿宋_GB2312" w:eastAsia="仿宋_GB2312"/>
                <w:sz w:val="24"/>
                <w:color w:val="000000"/>
              </w:rPr>
              <w:t>执行的法律法规、技术规范包括但不限于以下规定、规范、标准：</w:t>
            </w:r>
          </w:p>
          <w:p>
            <w:pPr>
              <w:pStyle w:val="null3"/>
              <w:ind w:firstLine="480"/>
              <w:jc w:val="left"/>
            </w:pPr>
            <w:r>
              <w:rPr>
                <w:rFonts w:ascii="仿宋_GB2312" w:hAnsi="仿宋_GB2312" w:cs="仿宋_GB2312" w:eastAsia="仿宋_GB2312"/>
                <w:sz w:val="24"/>
                <w:color w:val="000000"/>
              </w:rPr>
              <w:t>《中华人民共和国安全生产法》；</w:t>
            </w:r>
          </w:p>
          <w:p>
            <w:pPr>
              <w:pStyle w:val="null3"/>
              <w:ind w:firstLine="480"/>
              <w:jc w:val="left"/>
            </w:pPr>
            <w:r>
              <w:rPr>
                <w:rFonts w:ascii="仿宋_GB2312" w:hAnsi="仿宋_GB2312" w:cs="仿宋_GB2312" w:eastAsia="仿宋_GB2312"/>
                <w:sz w:val="24"/>
                <w:color w:val="000000"/>
              </w:rPr>
              <w:t>《建设工程安全生产管理条例》；</w:t>
            </w:r>
          </w:p>
          <w:p>
            <w:pPr>
              <w:pStyle w:val="null3"/>
              <w:ind w:firstLine="480"/>
              <w:jc w:val="left"/>
            </w:pPr>
            <w:r>
              <w:rPr>
                <w:rFonts w:ascii="仿宋_GB2312" w:hAnsi="仿宋_GB2312" w:cs="仿宋_GB2312" w:eastAsia="仿宋_GB2312"/>
                <w:sz w:val="24"/>
                <w:color w:val="000000"/>
              </w:rPr>
              <w:t>《西安市扬尘污染防治条例》；</w:t>
            </w:r>
          </w:p>
          <w:p>
            <w:pPr>
              <w:pStyle w:val="null3"/>
              <w:ind w:firstLine="480"/>
              <w:jc w:val="left"/>
            </w:pPr>
            <w:r>
              <w:rPr>
                <w:rFonts w:ascii="仿宋_GB2312" w:hAnsi="仿宋_GB2312" w:cs="仿宋_GB2312" w:eastAsia="仿宋_GB2312"/>
                <w:sz w:val="24"/>
                <w:color w:val="000000"/>
              </w:rPr>
              <w:t>《西安市建筑垃圾管理条例》；</w:t>
            </w:r>
          </w:p>
          <w:p>
            <w:pPr>
              <w:pStyle w:val="null3"/>
              <w:ind w:firstLine="480"/>
              <w:jc w:val="left"/>
            </w:pPr>
            <w:r>
              <w:rPr>
                <w:rFonts w:ascii="仿宋_GB2312" w:hAnsi="仿宋_GB2312" w:cs="仿宋_GB2312" w:eastAsia="仿宋_GB2312"/>
                <w:sz w:val="24"/>
                <w:color w:val="000000"/>
              </w:rPr>
              <w:t>《施工现场临时用电安全技术规范》</w:t>
            </w:r>
            <w:r>
              <w:rPr>
                <w:rFonts w:ascii="仿宋_GB2312" w:hAnsi="仿宋_GB2312" w:cs="仿宋_GB2312" w:eastAsia="仿宋_GB2312"/>
                <w:sz w:val="24"/>
                <w:color w:val="000000"/>
              </w:rPr>
              <w:t>JGJ46－2005；</w:t>
            </w:r>
          </w:p>
          <w:p>
            <w:pPr>
              <w:pStyle w:val="null3"/>
              <w:ind w:firstLine="480"/>
              <w:jc w:val="left"/>
            </w:pPr>
            <w:r>
              <w:rPr>
                <w:rFonts w:ascii="仿宋_GB2312" w:hAnsi="仿宋_GB2312" w:cs="仿宋_GB2312" w:eastAsia="仿宋_GB2312"/>
                <w:sz w:val="24"/>
                <w:color w:val="000000"/>
              </w:rPr>
              <w:t>《建筑机械使用安全技术规程》</w:t>
            </w:r>
            <w:r>
              <w:rPr>
                <w:rFonts w:ascii="仿宋_GB2312" w:hAnsi="仿宋_GB2312" w:cs="仿宋_GB2312" w:eastAsia="仿宋_GB2312"/>
                <w:sz w:val="24"/>
                <w:color w:val="000000"/>
              </w:rPr>
              <w:t>(JGJ33-2012)；</w:t>
            </w:r>
          </w:p>
          <w:p>
            <w:pPr>
              <w:pStyle w:val="null3"/>
            </w:pPr>
            <w:r>
              <w:rPr>
                <w:rFonts w:ascii="仿宋_GB2312" w:hAnsi="仿宋_GB2312" w:cs="仿宋_GB2312" w:eastAsia="仿宋_GB2312"/>
                <w:sz w:val="24"/>
              </w:rPr>
              <w:t>如有最新的法律法规、技术规范发布，按最新的文件执行。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（一）工期：自合同签订之日起30个日历日。 （二）付款方式： 1.预付款支付条款：无 2.剩余款项支付条款： 按照本项目工程内容铲青、垃圾清运工程，以各单项工程内容竣工完成并经采购人验收合格后，根据采购人确认的工程量及成交单价据实结算后一次性支付对应工程结算款。 （三）施工范围：中欧班列港区一体化综合场地一期项目(铲青及垃圾清运)；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 定代表人身份证，并与营业执照上信息一致。法定代表人授权代表参加磋商的，须出具法定代表人授权书及授权代表身份证，授权代表须提供近六个月中任一个月缴纳社保证明复印件并加盖单位公章；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供应商具有建筑工程施工总承包三级（含三级）及以上资质（或调整后的同等级资质），并提供有效的安全生产许可证；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项目经理须具备建筑工程专业二级及以上建造师资格,具有有效的安全生产考核合格证书（建安 B 证），且未担任其他在建工程项目的项目经理声明；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报价一览表.docx 已标价工程量清单 报价函 标的清单 首轮报价.docx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资格证明文件.docx 首轮报价.docx 强制优先采购产品承诺函 响应文件封面 磋商响应单位承诺书.docx 技术响应方案.docx 项目负责人简历表.docx 残疾人福利性单位声明函 项目管理机构组成表.docx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报价一览表.docx 首轮报价.docx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项目管理机构组成表.docx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最终报价表.docx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报价一览表.docx 首轮报价.docx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报价一览表.docx 首轮报价.docx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对各投标人的铲青、防尘网覆盖、垃圾清运、地面破除及围墙圈建实施方案是否结合本项目实际情况，提出具有针对性、具体明确、科学详细的可行性作业方案。 方案针对性强、具体明确、科学详细完整的得（8-10］分；方案针对性较强、较明确、科学详细完整的得（5-8］分；方案基本明确、基本详细的得（3-5］分；方案可行性一般得（0-3］分。未提供不得分。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根据本项目实际需求，制定的安全文明作业措施科学合理、具备可行性。 安全文明作业措施科学合理、可行性强得（3-5］分；安全文明作业措施较科学合理、可行性一般得（0-3］分。未提供不得分。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质量组织措施</w:t>
            </w:r>
          </w:p>
        </w:tc>
        <w:tc>
          <w:tcPr>
            <w:tcW w:type="dxa" w:w="2492"/>
          </w:tcPr>
          <w:p>
            <w:pPr>
              <w:pStyle w:val="null3"/>
            </w:pPr>
            <w:r>
              <w:rPr>
                <w:rFonts w:ascii="仿宋_GB2312" w:hAnsi="仿宋_GB2312" w:cs="仿宋_GB2312" w:eastAsia="仿宋_GB2312"/>
              </w:rPr>
              <w:t>确保质量的技术组织措施科学合理、具备可行性。 措施科学合理、可行性强、针对性强得（3-5］分；措施较科学合理、可行性一般得（0-3］分。未提供不得分。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进度计划及计划保证实施方案</w:t>
            </w:r>
          </w:p>
        </w:tc>
        <w:tc>
          <w:tcPr>
            <w:tcW w:type="dxa" w:w="2492"/>
          </w:tcPr>
          <w:p>
            <w:pPr>
              <w:pStyle w:val="null3"/>
            </w:pPr>
            <w:r>
              <w:rPr>
                <w:rFonts w:ascii="仿宋_GB2312" w:hAnsi="仿宋_GB2312" w:cs="仿宋_GB2312" w:eastAsia="仿宋_GB2312"/>
              </w:rPr>
              <w:t>严格按承运要求与计划运输垃圾，要求制定详细的进度计划及计划保证实施方案。 实施方案科学合理、可行性强得（3-5］分；实施方案较科学合理、可行性一般得（0-3］分。未提供不得分。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项目拟派人员</w:t>
            </w:r>
          </w:p>
        </w:tc>
        <w:tc>
          <w:tcPr>
            <w:tcW w:type="dxa" w:w="2492"/>
          </w:tcPr>
          <w:p>
            <w:pPr>
              <w:pStyle w:val="null3"/>
            </w:pPr>
            <w:r>
              <w:rPr>
                <w:rFonts w:ascii="仿宋_GB2312" w:hAnsi="仿宋_GB2312" w:cs="仿宋_GB2312" w:eastAsia="仿宋_GB2312"/>
              </w:rPr>
              <w:t>项目组成人员配备合理、分工明确，有详细的安排计划得（5-8］分；组成人员配备较合理、分工较明确，安排计划较合理得（3-5］分。组成人员配备基本合理明确，安排计划较合理得（0-3］分。未提供不得分。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根据各投标供应商对本项目配置的运输工具数量及条件、车辆配备情况综合比较。 配备合理完全满足需求得（4-7］分；配备较合理得（0-4］分。未提供不得分。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措施方案可实施性强得（3-5］分；措施方案可实施性一般得（0-3］分。未提供不得分。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可实施性强得（3-5］分；可实施性一般得（0-3］分。未提供不得分。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确保施工过程中环境保护（噪音、扬尘）措施</w:t>
            </w:r>
          </w:p>
        </w:tc>
        <w:tc>
          <w:tcPr>
            <w:tcW w:type="dxa" w:w="2492"/>
          </w:tcPr>
          <w:p>
            <w:pPr>
              <w:pStyle w:val="null3"/>
            </w:pPr>
            <w:r>
              <w:rPr>
                <w:rFonts w:ascii="仿宋_GB2312" w:hAnsi="仿宋_GB2312" w:cs="仿宋_GB2312" w:eastAsia="仿宋_GB2312"/>
              </w:rPr>
              <w:t>措施可实施性强得（3-5］分；可实施性一般得（0-3］分。未提供不得分。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应急保障措施及迎检方案</w:t>
            </w:r>
          </w:p>
        </w:tc>
        <w:tc>
          <w:tcPr>
            <w:tcW w:type="dxa" w:w="2492"/>
          </w:tcPr>
          <w:p>
            <w:pPr>
              <w:pStyle w:val="null3"/>
            </w:pPr>
            <w:r>
              <w:rPr>
                <w:rFonts w:ascii="仿宋_GB2312" w:hAnsi="仿宋_GB2312" w:cs="仿宋_GB2312" w:eastAsia="仿宋_GB2312"/>
              </w:rPr>
              <w:t>根据供应商针对突发事件应急保障措施及迎检方案的可行性（包含恶劣天气影响、自然灾害及政府性重大活动，重大节假日等特殊情况制定应急处置方案等）。 应急保障措施及迎检方案详尽、全面、有效、合理，可实施性强得（3-5］分；应急保障措施及迎检方案有效、合理，具有一定实施性得（0-3］。未提供不得分。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提供2022年01月01日以来类似项目业绩合同（以合同签订时间为准），每份得2分，满分10分。（注：以上证明文件在响应文件中附业绩合同扫描件并加盖公司公章。）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投标报价得分=(评标基准价／投标报价)×30 注：本项目专门面向中小企业采购，根据财政部发布《政府采购促进中小企业发展政策问答》的规定，专门面向中小企业采购的项目或者采购包，不再执行价格评审优惠的扶持政策。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详见附件：首轮报价.docx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详见附件：最终报价表.docx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