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版本号：CGZC-2025-261（ZR20GN2025-CS-087）20260107001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新筑新城等3个回迁安置小区车位分配服务项目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CGZC-2025-261（ZR20GN2025-CS-087）</w:t>
      </w:r>
      <w:r>
        <w:br/>
      </w:r>
      <w:r>
        <w:br/>
      </w:r>
      <w:r>
        <w:br/>
      </w:r>
    </w:p>
    <w:p>
      <w:pPr>
        <w:pStyle w:val="null3"/>
        <w:jc w:val="center"/>
        <w:outlineLvl w:val="2"/>
      </w:pPr>
      <w:r>
        <w:rPr>
          <w:rFonts w:ascii="仿宋_GB2312" w:hAnsi="仿宋_GB2312" w:cs="仿宋_GB2312" w:eastAsia="仿宋_GB2312"/>
          <w:sz w:val="28"/>
          <w:b/>
        </w:rPr>
        <w:t>新筑街道办事处</w:t>
      </w:r>
    </w:p>
    <w:p>
      <w:pPr>
        <w:pStyle w:val="null3"/>
        <w:jc w:val="center"/>
        <w:outlineLvl w:val="2"/>
      </w:pPr>
      <w:r>
        <w:rPr>
          <w:rFonts w:ascii="仿宋_GB2312" w:hAnsi="仿宋_GB2312" w:cs="仿宋_GB2312" w:eastAsia="仿宋_GB2312"/>
          <w:sz w:val="28"/>
          <w:b/>
        </w:rPr>
        <w:t>陕西中润国际招标有限公司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陕西中润国际招标有限公司</w:t>
      </w:r>
      <w:r>
        <w:rPr>
          <w:rFonts w:ascii="仿宋_GB2312" w:hAnsi="仿宋_GB2312" w:cs="仿宋_GB2312" w:eastAsia="仿宋_GB2312"/>
        </w:rPr>
        <w:t>（以下简称“代理机构”）受</w:t>
      </w:r>
      <w:r>
        <w:rPr>
          <w:rFonts w:ascii="仿宋_GB2312" w:hAnsi="仿宋_GB2312" w:cs="仿宋_GB2312" w:eastAsia="仿宋_GB2312"/>
        </w:rPr>
        <w:t>新筑街道办事处</w:t>
      </w:r>
      <w:r>
        <w:rPr>
          <w:rFonts w:ascii="仿宋_GB2312" w:hAnsi="仿宋_GB2312" w:cs="仿宋_GB2312" w:eastAsia="仿宋_GB2312"/>
        </w:rPr>
        <w:t>委托，拟对</w:t>
      </w:r>
      <w:r>
        <w:rPr>
          <w:rFonts w:ascii="仿宋_GB2312" w:hAnsi="仿宋_GB2312" w:cs="仿宋_GB2312" w:eastAsia="仿宋_GB2312"/>
        </w:rPr>
        <w:t>新筑新城等3个回迁安置小区车位分配服务项目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CGZC-2025-261（ZR20GN2025-CS-087）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新筑新城等3个回迁安置小区车位分配服务项目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采购新筑街办新筑新城等3个回迁安置小区车位分配服务项目。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采购包1（新筑新城等3个回迁安置小区车位分配服务项目）：属于专门面向中小企业采购。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或单位负责人参加磋商的，应提供法定代表人或单位负责人身份证明。授权代表参加磋商的，应提供法定代表人或单位负责人身份证明、授权委托书及授权代表在本单位的社保缴纳证明；</w:t>
      </w:r>
    </w:p>
    <w:p>
      <w:pPr>
        <w:pStyle w:val="null3"/>
      </w:pPr>
      <w:r>
        <w:rPr>
          <w:rFonts w:ascii="仿宋_GB2312" w:hAnsi="仿宋_GB2312" w:cs="仿宋_GB2312" w:eastAsia="仿宋_GB2312"/>
        </w:rPr>
        <w:t>2、信用记录：供应商在递交竞争性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3、联合体：本项目不接受联合体竞争性磋商。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新筑街道办事处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西安市灞桥区新筑街道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029-83411364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陕西中润国际招标有限公司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西安市高新区唐延路1号旺座国际城A座12楼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张经理、王经理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029-88825655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 2、服务费由采购人与采购代理机构约定：参照《国家计委关于印发&lt;招标代理服务收费管理暂行办法&gt;的通知》（计价格[2002]1980号）和《关于招标代理服务收费有关问题的通知》（发改办价格『2003』857号）规定按标准收取，若按照标准收取不足6000元，按6000元计取。3、成交单位的代理服务费交纳信息 银行户名：陕西中润国际招标有限公司 开户银行：中信银行西安曲江池北路支行 账 号：7251310182600086350 联 系 人：李帆 联系电话：029-87321229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新筑街道办事处</w:t>
      </w:r>
      <w:r>
        <w:rPr>
          <w:rFonts w:ascii="仿宋_GB2312" w:hAnsi="仿宋_GB2312" w:cs="仿宋_GB2312" w:eastAsia="仿宋_GB2312"/>
        </w:rPr>
        <w:t>和</w:t>
      </w:r>
      <w:r>
        <w:rPr>
          <w:rFonts w:ascii="仿宋_GB2312" w:hAnsi="仿宋_GB2312" w:cs="仿宋_GB2312" w:eastAsia="仿宋_GB2312"/>
        </w:rPr>
        <w:t>陕西中润国际招标有限公司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新筑街道办事处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陕西中润国际招标有限公司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新筑街道办事处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陕西中润国际招标有限公司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符合国家有关现行规范、标准的要求。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联系人：张经理、王经理</w:t>
      </w:r>
    </w:p>
    <w:p>
      <w:pPr>
        <w:pStyle w:val="null3"/>
      </w:pPr>
      <w:r>
        <w:rPr>
          <w:rFonts w:ascii="仿宋_GB2312" w:hAnsi="仿宋_GB2312" w:cs="仿宋_GB2312" w:eastAsia="仿宋_GB2312"/>
        </w:rPr>
        <w:t>联系电话：029-88825655</w:t>
      </w:r>
    </w:p>
    <w:p>
      <w:pPr>
        <w:pStyle w:val="null3"/>
      </w:pPr>
      <w:r>
        <w:rPr>
          <w:rFonts w:ascii="仿宋_GB2312" w:hAnsi="仿宋_GB2312" w:cs="仿宋_GB2312" w:eastAsia="仿宋_GB2312"/>
        </w:rPr>
        <w:t>地址：西安市高新区唐延路1号旺座国际城A座12楼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采购新筑街办新筑新城等3个回迁安置小区车位分配服务项目。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540,000.00</w:t>
      </w:r>
    </w:p>
    <w:p>
      <w:pPr>
        <w:pStyle w:val="null3"/>
      </w:pPr>
      <w:r>
        <w:rPr>
          <w:rFonts w:ascii="仿宋_GB2312" w:hAnsi="仿宋_GB2312" w:cs="仿宋_GB2312" w:eastAsia="仿宋_GB2312"/>
        </w:rPr>
        <w:t>采购包最高限价（元）: 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3个回迁安置小区车位分配服务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标的名称：3个回迁安置小区车位分配服务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pPr>
            <w:r>
              <w:rPr>
                <w:rFonts w:ascii="仿宋_GB2312" w:hAnsi="仿宋_GB2312" w:cs="仿宋_GB2312" w:eastAsia="仿宋_GB2312"/>
              </w:rPr>
              <w:t>采购新筑街办新筑新城等3个回迁安置小区车位分配服务项目。</w:t>
            </w:r>
          </w:p>
          <w:p>
            <w:pPr>
              <w:pStyle w:val="null3"/>
            </w:pPr>
            <w:r>
              <w:rPr>
                <w:rFonts w:ascii="仿宋_GB2312" w:hAnsi="仿宋_GB2312" w:cs="仿宋_GB2312" w:eastAsia="仿宋_GB2312"/>
                <w:b/>
              </w:rPr>
              <w:t>二、服务内容</w:t>
            </w:r>
          </w:p>
          <w:p>
            <w:pPr>
              <w:pStyle w:val="null3"/>
            </w:pPr>
            <w:r>
              <w:rPr>
                <w:rFonts w:ascii="仿宋_GB2312" w:hAnsi="仿宋_GB2312" w:cs="仿宋_GB2312" w:eastAsia="仿宋_GB2312"/>
              </w:rPr>
              <w:t>1、前期方案调研及方案编写；</w:t>
            </w:r>
            <w:r>
              <w:br/>
            </w:r>
            <w:r>
              <w:rPr>
                <w:rFonts w:ascii="仿宋_GB2312" w:hAnsi="仿宋_GB2312" w:cs="仿宋_GB2312" w:eastAsia="仿宋_GB2312"/>
              </w:rPr>
              <w:t xml:space="preserve"> 2、车位选择供需匹配分析及分区规划设计；</w:t>
            </w:r>
            <w:r>
              <w:br/>
            </w:r>
            <w:r>
              <w:rPr>
                <w:rFonts w:ascii="仿宋_GB2312" w:hAnsi="仿宋_GB2312" w:cs="仿宋_GB2312" w:eastAsia="仿宋_GB2312"/>
              </w:rPr>
              <w:t xml:space="preserve"> 3、车位选择流程设计。</w:t>
            </w:r>
          </w:p>
          <w:p>
            <w:pPr>
              <w:pStyle w:val="null3"/>
            </w:pPr>
            <w:r>
              <w:rPr>
                <w:rFonts w:ascii="仿宋_GB2312" w:hAnsi="仿宋_GB2312" w:cs="仿宋_GB2312" w:eastAsia="仿宋_GB2312"/>
              </w:rPr>
              <w:t>4、信息化系统定制化开发及搭建；</w:t>
            </w:r>
            <w:r>
              <w:br/>
            </w:r>
            <w:r>
              <w:rPr>
                <w:rFonts w:ascii="仿宋_GB2312" w:hAnsi="仿宋_GB2312" w:cs="仿宋_GB2312" w:eastAsia="仿宋_GB2312"/>
              </w:rPr>
              <w:t xml:space="preserve"> 5、数据档案建立及数据导入。</w:t>
            </w:r>
          </w:p>
          <w:p>
            <w:pPr>
              <w:pStyle w:val="null3"/>
            </w:pPr>
            <w:r>
              <w:rPr>
                <w:rFonts w:ascii="仿宋_GB2312" w:hAnsi="仿宋_GB2312" w:cs="仿宋_GB2312" w:eastAsia="仿宋_GB2312"/>
              </w:rPr>
              <w:t>6、参与车位选择的被征收人数据资料整理；</w:t>
            </w:r>
            <w:r>
              <w:br/>
            </w:r>
            <w:r>
              <w:rPr>
                <w:rFonts w:ascii="仿宋_GB2312" w:hAnsi="仿宋_GB2312" w:cs="仿宋_GB2312" w:eastAsia="仿宋_GB2312"/>
              </w:rPr>
              <w:t xml:space="preserve"> 7、车位数据整理及车位位置图绘制；</w:t>
            </w:r>
            <w:r>
              <w:br/>
            </w:r>
            <w:r>
              <w:rPr>
                <w:rFonts w:ascii="仿宋_GB2312" w:hAnsi="仿宋_GB2312" w:cs="仿宋_GB2312" w:eastAsia="仿宋_GB2312"/>
              </w:rPr>
              <w:t xml:space="preserve"> 8、建立车位数据库。</w:t>
            </w:r>
          </w:p>
          <w:p>
            <w:pPr>
              <w:pStyle w:val="null3"/>
            </w:pPr>
            <w:r>
              <w:rPr>
                <w:rFonts w:ascii="仿宋_GB2312" w:hAnsi="仿宋_GB2312" w:cs="仿宋_GB2312" w:eastAsia="仿宋_GB2312"/>
              </w:rPr>
              <w:t>9、广告设计及场地搭建；</w:t>
            </w:r>
            <w:r>
              <w:br/>
            </w:r>
            <w:r>
              <w:rPr>
                <w:rFonts w:ascii="仿宋_GB2312" w:hAnsi="仿宋_GB2312" w:cs="仿宋_GB2312" w:eastAsia="仿宋_GB2312"/>
              </w:rPr>
              <w:t xml:space="preserve"> 10、车位选择现场实施及手续办理；</w:t>
            </w:r>
            <w:r>
              <w:br/>
            </w:r>
            <w:r>
              <w:rPr>
                <w:rFonts w:ascii="仿宋_GB2312" w:hAnsi="仿宋_GB2312" w:cs="仿宋_GB2312" w:eastAsia="仿宋_GB2312"/>
              </w:rPr>
              <w:t xml:space="preserve"> 11、实施现场后勤保障。</w:t>
            </w:r>
          </w:p>
          <w:p>
            <w:pPr>
              <w:pStyle w:val="null3"/>
            </w:pPr>
            <w:r>
              <w:rPr>
                <w:rFonts w:ascii="仿宋_GB2312" w:hAnsi="仿宋_GB2312" w:cs="仿宋_GB2312" w:eastAsia="仿宋_GB2312"/>
                <w:b/>
              </w:rPr>
              <w:t>三、技术要求</w:t>
            </w:r>
          </w:p>
          <w:p>
            <w:pPr>
              <w:pStyle w:val="null3"/>
            </w:pPr>
            <w:r>
              <w:rPr>
                <w:rFonts w:ascii="仿宋_GB2312" w:hAnsi="仿宋_GB2312" w:cs="仿宋_GB2312" w:eastAsia="仿宋_GB2312"/>
              </w:rPr>
              <w:t>1、信息管理技术要求</w:t>
            </w:r>
          </w:p>
          <w:p>
            <w:pPr>
              <w:pStyle w:val="null3"/>
            </w:pPr>
            <w:r>
              <w:rPr>
                <w:rFonts w:ascii="仿宋_GB2312" w:hAnsi="仿宋_GB2312" w:cs="仿宋_GB2312" w:eastAsia="仿宋_GB2312"/>
              </w:rPr>
              <w:t>需采用符合国家信息安全标准的信息管理方式，对业主信息、车位信息等敏感数据进行加密存储，防止信息泄露、篡改或丢失。</w:t>
            </w:r>
          </w:p>
          <w:p>
            <w:pPr>
              <w:pStyle w:val="null3"/>
            </w:pPr>
            <w:r>
              <w:rPr>
                <w:rFonts w:ascii="仿宋_GB2312" w:hAnsi="仿宋_GB2312" w:cs="仿宋_GB2312" w:eastAsia="仿宋_GB2312"/>
              </w:rPr>
              <w:t>2、影像记录技术要求</w:t>
            </w:r>
          </w:p>
          <w:p>
            <w:pPr>
              <w:pStyle w:val="null3"/>
            </w:pPr>
            <w:r>
              <w:rPr>
                <w:rFonts w:ascii="仿宋_GB2312" w:hAnsi="仿宋_GB2312" w:cs="仿宋_GB2312" w:eastAsia="仿宋_GB2312"/>
              </w:rPr>
              <w:t>分配过程的影像记录需清晰可辨，画面稳定，声音清楚。</w:t>
            </w:r>
          </w:p>
          <w:p>
            <w:pPr>
              <w:pStyle w:val="null3"/>
            </w:pPr>
            <w:r>
              <w:rPr>
                <w:rFonts w:ascii="仿宋_GB2312" w:hAnsi="仿宋_GB2312" w:cs="仿宋_GB2312" w:eastAsia="仿宋_GB2312"/>
              </w:rPr>
              <w:t>3、资料提交格式要求</w:t>
            </w:r>
          </w:p>
          <w:p>
            <w:pPr>
              <w:pStyle w:val="null3"/>
            </w:pPr>
            <w:r>
              <w:rPr>
                <w:rFonts w:ascii="仿宋_GB2312" w:hAnsi="仿宋_GB2312" w:cs="仿宋_GB2312" w:eastAsia="仿宋_GB2312"/>
              </w:rPr>
              <w:t>电子资料需采用通用格式（如Word、Excel、PDF、JPG、MP4等），确保采购单位可正常打开及使用；纸质资料需使用A4纸张，装订整齐，页码清晰，封面注明项目名称及小区名称。</w:t>
            </w:r>
          </w:p>
          <w:p>
            <w:pPr>
              <w:pStyle w:val="null3"/>
            </w:pPr>
            <w:r>
              <w:rPr>
                <w:rFonts w:ascii="仿宋_GB2312" w:hAnsi="仿宋_GB2312" w:cs="仿宋_GB2312" w:eastAsia="仿宋_GB2312"/>
                <w:b/>
              </w:rPr>
              <w:t>四、商务要求</w:t>
            </w:r>
          </w:p>
          <w:p>
            <w:pPr>
              <w:pStyle w:val="null3"/>
            </w:pPr>
            <w:r>
              <w:rPr>
                <w:rFonts w:ascii="仿宋_GB2312" w:hAnsi="仿宋_GB2312" w:cs="仿宋_GB2312" w:eastAsia="仿宋_GB2312"/>
              </w:rPr>
              <w:t>1.服务期限：具体时间以采购人通知为准，每个回迁小区车位分配服务期不超过30天。</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根据项目情况，按需配备。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根据项目情况，按需配备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具体时间以甲方通知为准，每个回迁小区车位分配服务期不超过30天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符合采购文件和国家及行业规定的“合格”标准。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乙方按照要求，每完成一个回迁小区车位分配的服务内容并验收合格后，甲方支付该部分合同价款，达到付款条件起30日内，支付该部分合同金额的100.00%。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乙方按照要求，每完成一个回迁小区车位分配的服务内容并验收合格后，甲方支付该部分合同价款，达到付款条件起30日内，支付该部分合同金额的100.00%。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乙方按照要求，每完成一个回迁小区车位分配的服务内容并验收合格后，甲方支付该部分合同价款，达到付款条件起30日内，支付该部分合同金额的100.00%。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34.00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详见合同内容</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成交供应商在领取成交通知书前须无偿为采购人提供盖章齐全的纸质版投标文件三套，正本1套，副本2套，纸质版应与电子投标文件保持一致。正本应为彩色打印件，副本可采用正本的复印件。纸质版文件与电子投标文件不一致由此造成的一切责任及后果由供应商自行承担。纸质版投标文件递交地址：西安市高新区唐延路1号旺座国际城座A座12楼，张经理 王经理，029-88825655。 3.4.2本项目专门面向中小企业，供应商应为中型、小型、微型企业或监狱企业或残疾人福利性单位。项目所属行业：（根据《工业和信息化部、国家统计局、国家发展和改革委员会、财政部关于印发中小企业划型标准规定的通知》（工信部联企业〔2011〕300 号）规定的划分标准：（十六）其他未列明行业：从业人员300人以下的为中小微型企业。其中，从业人员100人及以上的为中型企业；从业人员10人及以上的为小型企业；从业人员10人以下的为微型企业。 3.4.3落实政府采购政策：①、《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②、《财政部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 ③、《国家互联网信息办公室 工业和信息化部 公安部 财政部 国家认证认可监督管理委员会关于调整网络安全专用产品安全管理有关事项的公告》（2023年第1号）。 ④、《陕西省财政厅关于加快推进我省中小企业政府采购信用融资工作的通知》（陕财办采〔2020〕15 号）、陕西省财政厅关于印发《陕西省中小企业政府采购信用融资办法》（陕财办采〔2018〕23 号）、《陕西省财政厅、中国人民银行西安分行关于深入推进政府采购信用融资业务的通知》陕财办采〔2023〕5号。 ⑤、国务院办公厅《关于建立政府强制采购节能产品制度的通知》（国办发〔2007〕51号） 《财政部 发展改革委 生态环境部 国家监管总局关于调整优化节能产品、环境标志产品政府采购执行机制的通知》（财库〔2019〕9号） 《关于印发环境标志产品政府采购品目清单的通知》（财库〔2019〕18号） 《关于印发节能产品政府采购品目清单的通知》（财库〔2019〕19号） 陕西省财政厅《关于进一步加强政府绿色采购有关问题的通知》（陕财办采〔2021〕29号） 《政府采购支持绿色建材促进建筑品质提升政策项目实施指南》的通知(财库〔2023〕52号)及《关于扩大政府采购支持绿色建材促进建筑品质提升政策实施范围的通知》(财库〔2022〕35号) 若享受以上政策优惠的企业，提供相应声明函或品目清单范围内产品的有效认证证书。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 （2）提供供应商在递交响应文件截止时间前6个月内任意一个月已缴纳的完税凭证或税务机关开具的完税证明（任意税种）（银行出具的缴税凭证或税务机关出具的证明的复印件，并加盖本单位公章）。依法免税或无须缴纳税收的供应商，应提供相应文件证明其依法免税； （3）提供供应商在递交响应文件截止时间前6个月内任意一个月已缴纳的社会保障资金缴存单据或社保机构开具的社会保险参保缴费情况证明，并加盖本单位公章。不需要缴纳社会保障资金的供应商，应提供相应文件证明其不需要缴纳社会保障资金； （4）具备履行合同所必需的设备和专业技术能力的承诺； （5）供应商参加政府采购活动前3年内在经营活动中没有重大违法记录的书面声明。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的财务报告或提交响应文件截止时间前三个月内其基本账户开户银行出具的资信证明（附开户许可证或开户备案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本项目为专门面向中小企业的项目，供应商应为中小微企业、监狱企业或残疾人福利性单位。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法定代表人或单位负责人参加磋商的，应提供法定代表人或单位负责人身份证明。授权代表参加磋商的，应提供法定代表人或单位负责人身份证明、授权委托书及授权代表在本单位的社保缴纳证明；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竞争性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本项目不接受联合体竞争性磋商。</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首次磋商报价表.docx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业绩一览表.docx 服务内容及服务邀请应答表 中小企业声明函 商务应答表 首次磋商报价表.docx 报价表 响应文件封面 政府采购供应商拒绝政府采购领域商业贿赂承诺书.docx 残疾人福利性单位声明函 标的清单 资格证明材料.docx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有效期应符合磋商文件要求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供应商报价是固定价且未超过预算金额（磋商文件有最高限价（最高含税完全综合单价限价）的，报价未超过最高限价（最高含税完全综合单价限价））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应符合磋商文件规定的其他实质性要求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供应商提供的本项目服务内容的理解进行评审：内容完整、可实施、且有针对性得6分；内容完整、可实施得4分；内容基本完整得2分；未提供不得分。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前期规划与方案设计</w:t>
            </w:r>
          </w:p>
        </w:tc>
        <w:tc>
          <w:tcPr>
            <w:tcW w:type="dxa" w:w="2492"/>
          </w:tcPr>
          <w:p>
            <w:pPr>
              <w:pStyle w:val="null3"/>
            </w:pPr>
            <w:r>
              <w:rPr>
                <w:rFonts w:ascii="仿宋_GB2312" w:hAnsi="仿宋_GB2312" w:cs="仿宋_GB2312" w:eastAsia="仿宋_GB2312"/>
              </w:rPr>
              <w:t>供应商提供针对本项目的车位分配前期规划与方案设计：内容完整、可实施、且有针对性得5分；内容完整、可实施得3分；方案基本完整得1分；未提供不得分。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系统搭建与数据整理</w:t>
            </w:r>
          </w:p>
        </w:tc>
        <w:tc>
          <w:tcPr>
            <w:tcW w:type="dxa" w:w="2492"/>
          </w:tcPr>
          <w:p>
            <w:pPr>
              <w:pStyle w:val="null3"/>
            </w:pPr>
            <w:r>
              <w:rPr>
                <w:rFonts w:ascii="仿宋_GB2312" w:hAnsi="仿宋_GB2312" w:cs="仿宋_GB2312" w:eastAsia="仿宋_GB2312"/>
              </w:rPr>
              <w:t>供应商提供针对本项目车位分配的系统搭建与数据整理方案：内容完整、可实施、且有针对性得5分；内容完整、可实施得3分；方案基本完整得1分；未提供不得分。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资料管理方案</w:t>
            </w:r>
          </w:p>
        </w:tc>
        <w:tc>
          <w:tcPr>
            <w:tcW w:type="dxa" w:w="2492"/>
          </w:tcPr>
          <w:p>
            <w:pPr>
              <w:pStyle w:val="null3"/>
            </w:pPr>
            <w:r>
              <w:rPr>
                <w:rFonts w:ascii="仿宋_GB2312" w:hAnsi="仿宋_GB2312" w:cs="仿宋_GB2312" w:eastAsia="仿宋_GB2312"/>
              </w:rPr>
              <w:t>供应商提供针对本项目车位分配的相关资料管理方案：内容完整、可实施、且有针对性得6分；内容完整、可实施得4分；方案基本完整得2分；未提供不得分。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现场实施与后勤保障方案</w:t>
            </w:r>
          </w:p>
        </w:tc>
        <w:tc>
          <w:tcPr>
            <w:tcW w:type="dxa" w:w="2492"/>
          </w:tcPr>
          <w:p>
            <w:pPr>
              <w:pStyle w:val="null3"/>
            </w:pPr>
            <w:r>
              <w:rPr>
                <w:rFonts w:ascii="仿宋_GB2312" w:hAnsi="仿宋_GB2312" w:cs="仿宋_GB2312" w:eastAsia="仿宋_GB2312"/>
              </w:rPr>
              <w:t>供应商提供针对本项目车位选择现场实施与后勤保障方案：内容完整、可实施、且有针对性得6分；内容完整、可实施得4分；方案基本完整得2分；未提供不得分。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供应商提供针对本项目的服务质量保证措施，内容至少包括：①质量保障方案（3分）：内容完整、可实施、且有针对性得3分；内容完整、可实施得2分；方案基本完整得1分；未提供不得分。 ②服务期内出现安全隐患及满意度下降等情况时的处罚办法（3分）：内容完整、可实施、且有针对性得3分；内容完整、可实施得2分；方案基本完整得1分；未提供不得分。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组织计划和人员构成</w:t>
            </w:r>
          </w:p>
        </w:tc>
        <w:tc>
          <w:tcPr>
            <w:tcW w:type="dxa" w:w="2492"/>
          </w:tcPr>
          <w:p>
            <w:pPr>
              <w:pStyle w:val="null3"/>
            </w:pPr>
            <w:r>
              <w:rPr>
                <w:rFonts w:ascii="仿宋_GB2312" w:hAnsi="仿宋_GB2312" w:cs="仿宋_GB2312" w:eastAsia="仿宋_GB2312"/>
              </w:rPr>
              <w:t>供应商提供针对本项目的组织计划和人员构成：组织机构设置合理，管理人员及技术人员配备数量充足、人员职责明确、分工清晰合理、相关项目实施经验丰富，得7分；组织机构设置较为合理，管理人员及技术人员配备数量较充足、职责较明确、分工较清晰合理、相关项目实施经验较丰富，得4分；组织机构设置一般，管理人员及技术人员配备数量不够充足、职责不够明确、分工不够清晰合理，不具备相关项目实施经验，得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工作进度</w:t>
            </w:r>
          </w:p>
        </w:tc>
        <w:tc>
          <w:tcPr>
            <w:tcW w:type="dxa" w:w="2492"/>
          </w:tcPr>
          <w:p>
            <w:pPr>
              <w:pStyle w:val="null3"/>
            </w:pPr>
            <w:r>
              <w:rPr>
                <w:rFonts w:ascii="仿宋_GB2312" w:hAnsi="仿宋_GB2312" w:cs="仿宋_GB2312" w:eastAsia="仿宋_GB2312"/>
              </w:rPr>
              <w:t>供应商提供针对本项目的工作进度，内容至少包括： ①时间计划、进度安排和保障措施（3分）：计划全面详细、合理、符合实际、针对性很强、保证措施有力、能够很好地满足项目需求得3分；计划全面、符合实际、针对性较强、保证措施能满足项目需求得2分；计划不完整、针对性一般、保证措施基本满足项目需求得1分；未提供不得分。 ②误期补救措施（3分）： 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供应商提供针对本项目的应急预案，内容至少包括： ①突发事件应急方案（3分）：方案合理详细、实用、科学性、可操作性高得3分； 方案较合理详细、科学性、可操作性较强得2分；方案较合理、科学性、可操作性一般得1分；未提供不得分。 ②安全保障方案（3分）：方案合理详细、实用、科学性、可操作性高得3分； 方案较合理详细、科学性、可操作性较强得2分；方案较合理、科学性、可操作性一般得1分；未提供不得分。 ③人员调配能力方案（3分）：方案合理详细、实用、科学性、可操作性高得3分；方案较合理详细、科学性、可操作性较强得2分；方案较合理、科学性、可操作性一般得1分；未提供不得分。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具有完善的保密措施和保密方案，从管理、人员、技术等各个方面，全面保证采购人数据及相关信息不泄密；保密方案内容详细，可行性强得5分；保密方案内容完整，可行性较强得3分；保密方案内容一般，可行性较差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重难点分析及应对措施</w:t>
            </w:r>
          </w:p>
        </w:tc>
        <w:tc>
          <w:tcPr>
            <w:tcW w:type="dxa" w:w="2492"/>
          </w:tcPr>
          <w:p>
            <w:pPr>
              <w:pStyle w:val="null3"/>
            </w:pPr>
            <w:r>
              <w:rPr>
                <w:rFonts w:ascii="仿宋_GB2312" w:hAnsi="仿宋_GB2312" w:cs="仿宋_GB2312" w:eastAsia="仿宋_GB2312"/>
              </w:rPr>
              <w:t>供应商提供针对本项目的重难点分析及应对措施：内容合理，针对性强、明确、全面得5分；内容完整，但尚有优化空间得3分；内容表述前后不一致、套用其他项目方案或与项目需求不匹配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内部管理</w:t>
            </w:r>
          </w:p>
        </w:tc>
        <w:tc>
          <w:tcPr>
            <w:tcW w:type="dxa" w:w="2492"/>
          </w:tcPr>
          <w:p>
            <w:pPr>
              <w:pStyle w:val="null3"/>
            </w:pPr>
            <w:r>
              <w:rPr>
                <w:rFonts w:ascii="仿宋_GB2312" w:hAnsi="仿宋_GB2312" w:cs="仿宋_GB2312" w:eastAsia="仿宋_GB2312"/>
              </w:rPr>
              <w:t>供应商具有清晰明确的内部管理架构、管理理念、激励机制、信息反馈渠道齐全、合理、切实可行得4分；内部管理架构、管理理念、激励机制、信息反馈渠道较齐全，但可行性差或无相关管理制度可行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提供2023年1月1日至今类似项目业绩，提供1份得2分，满分10分。（以合同签订时间为准，提供合同复印件加盖公章）未提供不得分。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详见附件：首次磋商报价表.docx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详见附件：拟签订的合同文本-新筑新城等3个回迁安置小区车位分配服务项目.docx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