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9C281">
      <w:pPr>
        <w:jc w:val="center"/>
        <w:rPr>
          <w:rFonts w:hint="eastAsia" w:ascii="仿宋" w:hAnsi="仿宋" w:eastAsia="仿宋" w:cs="仿宋"/>
          <w:b/>
          <w:sz w:val="52"/>
          <w:szCs w:val="52"/>
        </w:rPr>
      </w:pPr>
      <w:r>
        <w:rPr>
          <w:rFonts w:hint="eastAsia" w:ascii="仿宋" w:hAnsi="仿宋" w:eastAsia="仿宋" w:cs="仿宋"/>
          <w:b/>
          <w:sz w:val="52"/>
          <w:szCs w:val="52"/>
        </w:rPr>
        <w:t>新筑新城等3个回迁安置小区车位分配服务项目</w:t>
      </w:r>
    </w:p>
    <w:p w14:paraId="3CD36CF8">
      <w:pPr>
        <w:jc w:val="center"/>
        <w:rPr>
          <w:rFonts w:hint="eastAsia" w:ascii="仿宋" w:hAnsi="仿宋" w:eastAsia="仿宋" w:cs="仿宋"/>
          <w:sz w:val="30"/>
          <w:szCs w:val="30"/>
          <w:highlight w:val="none"/>
        </w:rPr>
      </w:pPr>
      <w:r>
        <w:rPr>
          <w:rFonts w:hint="eastAsia" w:ascii="仿宋" w:hAnsi="仿宋" w:eastAsia="仿宋" w:cs="仿宋"/>
          <w:b/>
          <w:sz w:val="52"/>
          <w:szCs w:val="52"/>
          <w:highlight w:val="none"/>
        </w:rPr>
        <w:t>采购合同</w:t>
      </w:r>
    </w:p>
    <w:p w14:paraId="209A93CE">
      <w:pPr>
        <w:rPr>
          <w:rFonts w:hint="eastAsia" w:ascii="仿宋" w:hAnsi="仿宋" w:eastAsia="仿宋" w:cs="仿宋"/>
          <w:sz w:val="30"/>
          <w:szCs w:val="30"/>
        </w:rPr>
      </w:pPr>
    </w:p>
    <w:p w14:paraId="1C24774B">
      <w:pPr>
        <w:jc w:val="center"/>
        <w:rPr>
          <w:rFonts w:hint="eastAsia" w:ascii="仿宋" w:hAnsi="仿宋" w:eastAsia="仿宋" w:cs="仿宋"/>
          <w:b/>
        </w:rPr>
      </w:pPr>
      <w:r>
        <w:rPr>
          <w:rFonts w:hint="eastAsia" w:ascii="仿宋" w:hAnsi="仿宋" w:eastAsia="仿宋" w:cs="仿宋"/>
          <w:b/>
          <w:sz w:val="30"/>
          <w:szCs w:val="30"/>
        </w:rPr>
        <w:t>（示范文本）</w:t>
      </w:r>
    </w:p>
    <w:p w14:paraId="4B24AD93">
      <w:pPr>
        <w:spacing w:line="360" w:lineRule="auto"/>
        <w:ind w:left="1473" w:hanging="1469" w:hangingChars="400"/>
        <w:jc w:val="center"/>
        <w:rPr>
          <w:rFonts w:hint="eastAsia" w:ascii="仿宋" w:hAnsi="仿宋" w:eastAsia="仿宋" w:cs="仿宋"/>
          <w:b/>
          <w:spacing w:val="23"/>
          <w:sz w:val="32"/>
          <w:szCs w:val="32"/>
          <w:highlight w:val="none"/>
        </w:rPr>
      </w:pPr>
    </w:p>
    <w:p w14:paraId="7D346ADD">
      <w:pPr>
        <w:spacing w:line="360" w:lineRule="auto"/>
        <w:ind w:left="1473" w:hanging="1469" w:hangingChars="400"/>
        <w:jc w:val="center"/>
        <w:rPr>
          <w:rFonts w:hint="eastAsia" w:ascii="仿宋" w:hAnsi="仿宋" w:eastAsia="仿宋" w:cs="仿宋"/>
          <w:b/>
          <w:spacing w:val="23"/>
          <w:sz w:val="32"/>
          <w:szCs w:val="32"/>
          <w:highlight w:val="none"/>
        </w:rPr>
      </w:pPr>
    </w:p>
    <w:p w14:paraId="0279ECAA">
      <w:pPr>
        <w:spacing w:line="360" w:lineRule="auto"/>
        <w:ind w:left="1473" w:hanging="1469" w:hangingChars="400"/>
        <w:jc w:val="center"/>
        <w:rPr>
          <w:rFonts w:hint="eastAsia" w:ascii="仿宋" w:hAnsi="仿宋" w:eastAsia="仿宋" w:cs="仿宋"/>
          <w:b/>
          <w:spacing w:val="23"/>
          <w:sz w:val="32"/>
          <w:szCs w:val="32"/>
          <w:highlight w:val="none"/>
        </w:rPr>
      </w:pPr>
    </w:p>
    <w:p w14:paraId="5BD682CA">
      <w:pPr>
        <w:spacing w:line="360" w:lineRule="auto"/>
        <w:ind w:left="1473" w:hanging="1469" w:hangingChars="400"/>
        <w:jc w:val="center"/>
        <w:rPr>
          <w:rFonts w:hint="eastAsia" w:ascii="仿宋" w:hAnsi="仿宋" w:eastAsia="仿宋" w:cs="仿宋"/>
          <w:b/>
          <w:spacing w:val="23"/>
          <w:sz w:val="32"/>
          <w:szCs w:val="32"/>
          <w:highlight w:val="none"/>
        </w:rPr>
      </w:pPr>
    </w:p>
    <w:p w14:paraId="00784377">
      <w:pPr>
        <w:spacing w:line="360" w:lineRule="auto"/>
        <w:ind w:firstLine="1102" w:firstLineChars="300"/>
        <w:jc w:val="both"/>
        <w:rPr>
          <w:rFonts w:hint="eastAsia" w:ascii="仿宋" w:hAnsi="仿宋" w:eastAsia="仿宋" w:cs="仿宋"/>
          <w:spacing w:val="23"/>
          <w:sz w:val="28"/>
          <w:szCs w:val="28"/>
          <w:highlight w:val="none"/>
          <w:u w:val="single"/>
        </w:rPr>
      </w:pPr>
      <w:r>
        <w:rPr>
          <w:rFonts w:hint="eastAsia" w:ascii="仿宋" w:hAnsi="仿宋" w:eastAsia="仿宋" w:cs="仿宋"/>
          <w:b/>
          <w:spacing w:val="23"/>
          <w:sz w:val="32"/>
          <w:szCs w:val="32"/>
          <w:highlight w:val="none"/>
        </w:rPr>
        <w:t>甲方(</w:t>
      </w:r>
      <w:r>
        <w:rPr>
          <w:rFonts w:hint="eastAsia" w:ascii="仿宋" w:hAnsi="仿宋" w:eastAsia="仿宋" w:cs="仿宋"/>
          <w:b/>
          <w:spacing w:val="23"/>
          <w:sz w:val="32"/>
          <w:szCs w:val="32"/>
          <w:highlight w:val="none"/>
          <w:lang w:val="en-US" w:eastAsia="zh-CN"/>
        </w:rPr>
        <w:t>采购人</w:t>
      </w:r>
      <w:r>
        <w:rPr>
          <w:rFonts w:hint="eastAsia" w:ascii="仿宋" w:hAnsi="仿宋" w:eastAsia="仿宋" w:cs="仿宋"/>
          <w:b/>
          <w:spacing w:val="23"/>
          <w:sz w:val="32"/>
          <w:szCs w:val="32"/>
          <w:highlight w:val="none"/>
        </w:rPr>
        <w:t>)：</w:t>
      </w:r>
      <w:r>
        <w:rPr>
          <w:rFonts w:hint="eastAsia" w:ascii="仿宋" w:hAnsi="仿宋" w:eastAsia="仿宋" w:cs="仿宋"/>
          <w:spacing w:val="23"/>
          <w:sz w:val="28"/>
          <w:szCs w:val="28"/>
          <w:highlight w:val="none"/>
          <w:u w:val="single"/>
          <w:lang w:val="en-US" w:eastAsia="zh-CN"/>
        </w:rPr>
        <w:t xml:space="preserve">              </w:t>
      </w:r>
    </w:p>
    <w:p w14:paraId="4455C963">
      <w:pPr>
        <w:spacing w:line="360" w:lineRule="auto"/>
        <w:ind w:left="1375" w:leftChars="458" w:hanging="367" w:hangingChars="100"/>
        <w:jc w:val="both"/>
        <w:rPr>
          <w:rFonts w:hint="eastAsia" w:ascii="仿宋" w:hAnsi="仿宋" w:eastAsia="仿宋" w:cs="仿宋"/>
          <w:spacing w:val="23"/>
          <w:sz w:val="28"/>
          <w:szCs w:val="28"/>
          <w:highlight w:val="none"/>
          <w:u w:val="single"/>
        </w:rPr>
      </w:pPr>
      <w:r>
        <w:rPr>
          <w:rFonts w:hint="eastAsia" w:ascii="仿宋" w:hAnsi="仿宋" w:eastAsia="仿宋" w:cs="仿宋"/>
          <w:b/>
          <w:spacing w:val="23"/>
          <w:sz w:val="32"/>
          <w:szCs w:val="32"/>
          <w:highlight w:val="none"/>
        </w:rPr>
        <w:fldChar w:fldCharType="begin"/>
      </w:r>
      <w:r>
        <w:rPr>
          <w:rFonts w:hint="eastAsia" w:ascii="仿宋" w:hAnsi="仿宋" w:eastAsia="仿宋" w:cs="仿宋"/>
          <w:b/>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pacing w:val="23"/>
          <w:sz w:val="32"/>
          <w:szCs w:val="32"/>
          <w:highlight w:val="none"/>
        </w:rPr>
        <w:fldChar w:fldCharType="separate"/>
      </w:r>
      <w:r>
        <w:rPr>
          <w:rFonts w:hint="eastAsia" w:ascii="仿宋" w:hAnsi="仿宋" w:eastAsia="仿宋" w:cs="仿宋"/>
          <w:b/>
          <w:spacing w:val="23"/>
          <w:sz w:val="32"/>
          <w:szCs w:val="32"/>
          <w:highlight w:val="none"/>
        </w:rPr>
        <w:t>乙方</w:t>
      </w:r>
      <w:r>
        <w:rPr>
          <w:rFonts w:hint="eastAsia" w:ascii="仿宋" w:hAnsi="仿宋" w:eastAsia="仿宋" w:cs="仿宋"/>
          <w:b/>
          <w:spacing w:val="23"/>
          <w:sz w:val="32"/>
          <w:szCs w:val="32"/>
          <w:highlight w:val="none"/>
        </w:rPr>
        <w:fldChar w:fldCharType="end"/>
      </w:r>
      <w:r>
        <w:rPr>
          <w:rFonts w:hint="eastAsia" w:ascii="仿宋" w:hAnsi="仿宋" w:eastAsia="仿宋" w:cs="仿宋"/>
          <w:b/>
          <w:spacing w:val="23"/>
          <w:sz w:val="32"/>
          <w:szCs w:val="32"/>
          <w:highlight w:val="none"/>
        </w:rPr>
        <w:t>(</w:t>
      </w:r>
      <w:r>
        <w:rPr>
          <w:rFonts w:hint="eastAsia" w:ascii="仿宋" w:hAnsi="仿宋" w:eastAsia="仿宋" w:cs="仿宋"/>
          <w:b/>
          <w:spacing w:val="23"/>
          <w:sz w:val="32"/>
          <w:szCs w:val="32"/>
          <w:highlight w:val="none"/>
          <w:lang w:val="en-US" w:eastAsia="zh-CN"/>
        </w:rPr>
        <w:t>供应商</w:t>
      </w:r>
      <w:r>
        <w:rPr>
          <w:rFonts w:hint="eastAsia" w:ascii="仿宋" w:hAnsi="仿宋" w:eastAsia="仿宋" w:cs="仿宋"/>
          <w:b/>
          <w:spacing w:val="23"/>
          <w:sz w:val="32"/>
          <w:szCs w:val="32"/>
          <w:highlight w:val="none"/>
        </w:rPr>
        <w:t>)：</w:t>
      </w:r>
      <w:r>
        <w:rPr>
          <w:rFonts w:hint="eastAsia" w:ascii="仿宋" w:hAnsi="仿宋" w:eastAsia="仿宋" w:cs="仿宋"/>
          <w:spacing w:val="23"/>
          <w:sz w:val="28"/>
          <w:szCs w:val="28"/>
          <w:highlight w:val="none"/>
          <w:u w:val="single"/>
          <w:lang w:val="en-US" w:eastAsia="zh-CN"/>
        </w:rPr>
        <w:t xml:space="preserve">              </w:t>
      </w:r>
    </w:p>
    <w:p w14:paraId="0DD5ECB9">
      <w:pPr>
        <w:tabs>
          <w:tab w:val="left" w:pos="1995"/>
        </w:tabs>
        <w:spacing w:line="360" w:lineRule="auto"/>
        <w:ind w:firstLine="1102" w:firstLineChars="300"/>
        <w:jc w:val="both"/>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rPr>
        <w:t>签订时间：</w:t>
      </w:r>
      <w:r>
        <w:rPr>
          <w:rFonts w:hint="eastAsia" w:ascii="仿宋" w:hAnsi="仿宋" w:eastAsia="仿宋" w:cs="仿宋"/>
          <w:spacing w:val="23"/>
          <w:sz w:val="28"/>
          <w:szCs w:val="28"/>
          <w:highlight w:val="none"/>
          <w:u w:val="single"/>
          <w:lang w:val="en-US" w:eastAsia="zh-CN"/>
        </w:rPr>
        <w:t xml:space="preserve">    </w:t>
      </w:r>
      <w:r>
        <w:rPr>
          <w:rFonts w:hint="eastAsia" w:ascii="仿宋" w:hAnsi="仿宋" w:eastAsia="仿宋" w:cs="仿宋"/>
          <w:b/>
          <w:spacing w:val="23"/>
          <w:sz w:val="32"/>
          <w:szCs w:val="32"/>
          <w:highlight w:val="none"/>
        </w:rPr>
        <w:t>年</w:t>
      </w:r>
      <w:r>
        <w:rPr>
          <w:rFonts w:hint="eastAsia" w:ascii="仿宋" w:hAnsi="仿宋" w:eastAsia="仿宋" w:cs="仿宋"/>
          <w:spacing w:val="23"/>
          <w:sz w:val="28"/>
          <w:szCs w:val="28"/>
          <w:highlight w:val="none"/>
          <w:u w:val="single"/>
          <w:lang w:val="en-US" w:eastAsia="zh-CN"/>
        </w:rPr>
        <w:t xml:space="preserve">    </w:t>
      </w:r>
      <w:r>
        <w:rPr>
          <w:rFonts w:hint="eastAsia" w:ascii="仿宋" w:hAnsi="仿宋" w:eastAsia="仿宋" w:cs="仿宋"/>
          <w:b/>
          <w:spacing w:val="23"/>
          <w:sz w:val="32"/>
          <w:szCs w:val="32"/>
          <w:highlight w:val="none"/>
        </w:rPr>
        <w:t>月</w:t>
      </w:r>
      <w:r>
        <w:rPr>
          <w:rFonts w:hint="eastAsia" w:ascii="仿宋" w:hAnsi="仿宋" w:eastAsia="仿宋" w:cs="仿宋"/>
          <w:spacing w:val="23"/>
          <w:sz w:val="28"/>
          <w:szCs w:val="28"/>
          <w:highlight w:val="none"/>
          <w:u w:val="single"/>
          <w:lang w:val="en-US" w:eastAsia="zh-CN"/>
        </w:rPr>
        <w:t xml:space="preserve">    </w:t>
      </w:r>
      <w:r>
        <w:rPr>
          <w:rFonts w:hint="eastAsia" w:ascii="仿宋" w:hAnsi="仿宋" w:eastAsia="仿宋" w:cs="仿宋"/>
          <w:b/>
          <w:spacing w:val="23"/>
          <w:sz w:val="32"/>
          <w:szCs w:val="32"/>
          <w:highlight w:val="none"/>
        </w:rPr>
        <w:t>日</w:t>
      </w:r>
    </w:p>
    <w:p w14:paraId="63D66DEA">
      <w:pPr>
        <w:ind w:firstLine="960"/>
        <w:jc w:val="center"/>
      </w:pPr>
      <w:r>
        <w:rPr>
          <w:rFonts w:hint="eastAsia"/>
          <w:sz w:val="48"/>
          <w:szCs w:val="48"/>
        </w:rPr>
        <w:br w:type="page"/>
      </w:r>
    </w:p>
    <w:p w14:paraId="2FF0965A">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甲方（采购人）：</w:t>
      </w:r>
      <w:r>
        <w:rPr>
          <w:rFonts w:hint="eastAsia" w:ascii="仿宋" w:hAnsi="仿宋" w:eastAsia="仿宋" w:cs="仿宋"/>
          <w:sz w:val="20"/>
          <w:szCs w:val="20"/>
          <w:highlight w:val="none"/>
          <w:u w:val="single"/>
        </w:rPr>
        <w:t xml:space="preserve">                                         </w:t>
      </w:r>
    </w:p>
    <w:p w14:paraId="4304A326">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乙方（供应商）：</w:t>
      </w:r>
      <w:r>
        <w:rPr>
          <w:rFonts w:hint="eastAsia" w:ascii="仿宋" w:hAnsi="仿宋" w:eastAsia="仿宋" w:cs="仿宋"/>
          <w:sz w:val="20"/>
          <w:szCs w:val="20"/>
          <w:highlight w:val="none"/>
          <w:u w:val="single"/>
        </w:rPr>
        <w:t xml:space="preserve">                                         </w:t>
      </w:r>
    </w:p>
    <w:p w14:paraId="4F6E4EC5">
      <w:pPr>
        <w:keepNext w:val="0"/>
        <w:keepLines w:val="0"/>
        <w:pageBreakBefore w:val="0"/>
        <w:widowControl w:val="0"/>
        <w:kinsoku/>
        <w:wordWrap/>
        <w:overflowPunct/>
        <w:topLinePunct w:val="0"/>
        <w:autoSpaceDE/>
        <w:autoSpaceDN/>
        <w:bidi w:val="0"/>
        <w:adjustRightInd/>
        <w:snapToGrid/>
        <w:spacing w:after="20" w:line="240" w:lineRule="auto"/>
        <w:ind w:left="0" w:leftChars="0"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依照《中华人民共和国政府采购法》及实施条例、《中华人民共和国民法典》等法律、行政法规，遵循平等、自愿、公平和诚实信用的原则，双方就下述项目范围与相关服务事项协商一致，订立本合同。</w:t>
      </w:r>
    </w:p>
    <w:p w14:paraId="0F4FB883">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一、项目概况</w:t>
      </w:r>
    </w:p>
    <w:p w14:paraId="35E6C017">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1.项目名称：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w:t>
      </w:r>
    </w:p>
    <w:p w14:paraId="1F48078D">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2.项目地点：</w:t>
      </w:r>
      <w:r>
        <w:rPr>
          <w:rFonts w:hint="eastAsia" w:ascii="仿宋" w:hAnsi="仿宋" w:eastAsia="仿宋" w:cs="仿宋"/>
          <w:sz w:val="20"/>
          <w:szCs w:val="20"/>
          <w:highlight w:val="none"/>
          <w:u w:val="single"/>
        </w:rPr>
        <w:t>甲方指定地点</w:t>
      </w:r>
      <w:r>
        <w:rPr>
          <w:rFonts w:hint="eastAsia" w:ascii="仿宋" w:hAnsi="仿宋" w:eastAsia="仿宋" w:cs="仿宋"/>
          <w:sz w:val="20"/>
          <w:szCs w:val="20"/>
          <w:highlight w:val="none"/>
        </w:rPr>
        <w:t>。</w:t>
      </w:r>
    </w:p>
    <w:p w14:paraId="06CD32C7">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3.项目内容：包括车位分配方案制定及实施、数据服务、信息化服务、活动现场影像记录、资料整理等内容。</w:t>
      </w:r>
    </w:p>
    <w:p w14:paraId="323853C7">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二、组成本合同的文件</w:t>
      </w:r>
    </w:p>
    <w:p w14:paraId="56CF014A">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1.协议书；</w:t>
      </w:r>
    </w:p>
    <w:p w14:paraId="32EACBD0">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2.成交通知书、磋商响应文件、磋商文件、澄清、补充文件(或委托书)；</w:t>
      </w:r>
    </w:p>
    <w:p w14:paraId="2D7F5A33">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3.相关服务建议书；</w:t>
      </w:r>
    </w:p>
    <w:p w14:paraId="6C33F0C4">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本合同签订后，双方依法签订的补充协议也是本合同文件的组成部分。</w:t>
      </w:r>
    </w:p>
    <w:p w14:paraId="11E24AFD">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三、合同价款</w:t>
      </w:r>
    </w:p>
    <w:p w14:paraId="62A28789">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1.本合同为</w:t>
      </w:r>
      <w:r>
        <w:rPr>
          <w:rFonts w:hint="eastAsia" w:ascii="仿宋" w:hAnsi="仿宋" w:eastAsia="仿宋" w:cs="仿宋"/>
          <w:sz w:val="20"/>
          <w:szCs w:val="20"/>
          <w:highlight w:val="none"/>
          <w:lang w:val="en-US" w:eastAsia="zh-CN"/>
        </w:rPr>
        <w:t>总</w:t>
      </w:r>
      <w:r>
        <w:rPr>
          <w:rFonts w:hint="eastAsia" w:ascii="仿宋" w:hAnsi="仿宋" w:eastAsia="仿宋" w:cs="仿宋"/>
          <w:sz w:val="20"/>
          <w:szCs w:val="20"/>
          <w:highlight w:val="none"/>
        </w:rPr>
        <w:t>价合同,包括但不限于完成本项目人工费、</w:t>
      </w:r>
      <w:r>
        <w:rPr>
          <w:rFonts w:hint="eastAsia" w:ascii="仿宋" w:hAnsi="仿宋" w:eastAsia="仿宋" w:cs="仿宋"/>
          <w:sz w:val="20"/>
          <w:szCs w:val="20"/>
          <w:highlight w:val="none"/>
          <w:lang w:val="en-US" w:eastAsia="zh-CN"/>
        </w:rPr>
        <w:t>咨询</w:t>
      </w:r>
      <w:r>
        <w:rPr>
          <w:rFonts w:hint="eastAsia" w:ascii="仿宋" w:hAnsi="仿宋" w:eastAsia="仿宋" w:cs="仿宋"/>
          <w:sz w:val="20"/>
          <w:szCs w:val="20"/>
          <w:highlight w:val="none"/>
        </w:rPr>
        <w:t>费、策划费、组织实施费、影像资料拍摄留存、</w:t>
      </w:r>
      <w:r>
        <w:rPr>
          <w:rFonts w:hint="eastAsia" w:ascii="仿宋" w:hAnsi="仿宋" w:eastAsia="仿宋" w:cs="仿宋"/>
          <w:sz w:val="20"/>
          <w:szCs w:val="20"/>
          <w:highlight w:val="none"/>
          <w:lang w:val="en-US" w:eastAsia="zh-CN"/>
        </w:rPr>
        <w:t>数据服务费</w:t>
      </w:r>
      <w:r>
        <w:rPr>
          <w:rFonts w:hint="eastAsia" w:ascii="仿宋" w:hAnsi="仿宋" w:eastAsia="仿宋" w:cs="仿宋"/>
          <w:sz w:val="20"/>
          <w:szCs w:val="20"/>
          <w:highlight w:val="none"/>
        </w:rPr>
        <w:t>、餐饮费、保险、利润、税金、风险、协调费用及完成工作准备阶段、实施阶段、成果交付阶段、验收阶段等所需的全部费用。</w:t>
      </w:r>
    </w:p>
    <w:p w14:paraId="6F8356F9">
      <w:pPr>
        <w:keepNext w:val="0"/>
        <w:keepLines w:val="0"/>
        <w:pageBreakBefore w:val="0"/>
        <w:kinsoku/>
        <w:wordWrap/>
        <w:overflowPunct/>
        <w:topLinePunct w:val="0"/>
        <w:autoSpaceDE/>
        <w:autoSpaceDN/>
        <w:bidi w:val="0"/>
        <w:adjustRightInd w:val="0"/>
        <w:snapToGrid/>
        <w:spacing w:after="20" w:line="240" w:lineRule="auto"/>
        <w:ind w:firstLine="396" w:firstLineChars="198"/>
        <w:textAlignment w:val="auto"/>
        <w:rPr>
          <w:rFonts w:hint="eastAsia" w:ascii="仿宋" w:hAnsi="仿宋" w:eastAsia="仿宋" w:cs="仿宋"/>
          <w:spacing w:val="-10"/>
          <w:kern w:val="2"/>
          <w:sz w:val="20"/>
          <w:szCs w:val="20"/>
          <w:highlight w:val="none"/>
          <w:lang w:val="en-US" w:eastAsia="zh-CN"/>
        </w:rPr>
      </w:pPr>
      <w:r>
        <w:rPr>
          <w:rFonts w:hint="eastAsia" w:ascii="仿宋" w:hAnsi="仿宋" w:eastAsia="仿宋" w:cs="仿宋"/>
          <w:sz w:val="20"/>
          <w:szCs w:val="20"/>
          <w:highlight w:val="none"/>
        </w:rPr>
        <w:t>2.合同总价：</w:t>
      </w:r>
      <w:r>
        <w:rPr>
          <w:rFonts w:hint="eastAsia" w:ascii="仿宋" w:hAnsi="仿宋" w:eastAsia="仿宋" w:cs="仿宋"/>
          <w:spacing w:val="-10"/>
          <w:kern w:val="2"/>
          <w:sz w:val="20"/>
          <w:szCs w:val="20"/>
          <w:highlight w:val="none"/>
        </w:rPr>
        <w:t>大写：</w:t>
      </w:r>
      <w:r>
        <w:rPr>
          <w:rFonts w:hint="eastAsia" w:ascii="仿宋" w:hAnsi="仿宋" w:eastAsia="仿宋" w:cs="仿宋"/>
          <w:spacing w:val="-10"/>
          <w:kern w:val="2"/>
          <w:sz w:val="20"/>
          <w:szCs w:val="20"/>
          <w:highlight w:val="none"/>
          <w:u w:val="single"/>
        </w:rPr>
        <w:t xml:space="preserve">                </w:t>
      </w:r>
      <w:r>
        <w:rPr>
          <w:rFonts w:hint="eastAsia" w:ascii="仿宋" w:hAnsi="仿宋" w:eastAsia="仿宋" w:cs="仿宋"/>
          <w:spacing w:val="-10"/>
          <w:kern w:val="2"/>
          <w:sz w:val="20"/>
          <w:szCs w:val="20"/>
          <w:highlight w:val="none"/>
        </w:rPr>
        <w:t>（小写：</w:t>
      </w:r>
      <w:r>
        <w:rPr>
          <w:rFonts w:hint="eastAsia" w:ascii="仿宋" w:hAnsi="仿宋" w:eastAsia="仿宋" w:cs="仿宋"/>
          <w:spacing w:val="-10"/>
          <w:kern w:val="2"/>
          <w:sz w:val="20"/>
          <w:szCs w:val="20"/>
          <w:highlight w:val="none"/>
          <w:u w:val="single"/>
        </w:rPr>
        <w:t xml:space="preserve">      </w:t>
      </w:r>
      <w:r>
        <w:rPr>
          <w:rFonts w:hint="eastAsia" w:ascii="仿宋" w:hAnsi="仿宋" w:eastAsia="仿宋" w:cs="仿宋"/>
          <w:spacing w:val="-10"/>
          <w:kern w:val="2"/>
          <w:sz w:val="20"/>
          <w:szCs w:val="20"/>
          <w:highlight w:val="none"/>
        </w:rPr>
        <w:t>元）。</w:t>
      </w:r>
      <w:r>
        <w:rPr>
          <w:rFonts w:hint="eastAsia" w:ascii="仿宋" w:hAnsi="仿宋" w:eastAsia="仿宋" w:cs="仿宋"/>
          <w:spacing w:val="-10"/>
          <w:kern w:val="2"/>
          <w:sz w:val="20"/>
          <w:szCs w:val="20"/>
          <w:highlight w:val="none"/>
          <w:lang w:val="en-US" w:eastAsia="zh-CN"/>
        </w:rPr>
        <w:t>明细如下：</w:t>
      </w:r>
    </w:p>
    <w:tbl>
      <w:tblPr>
        <w:tblStyle w:val="5"/>
        <w:tblW w:w="733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02"/>
        <w:gridCol w:w="1164"/>
        <w:gridCol w:w="1882"/>
        <w:gridCol w:w="1286"/>
      </w:tblGrid>
      <w:tr w14:paraId="56A754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jc w:val="center"/>
        </w:trPr>
        <w:tc>
          <w:tcPr>
            <w:tcW w:w="3002" w:type="dxa"/>
            <w:vAlign w:val="center"/>
          </w:tcPr>
          <w:p w14:paraId="54A0AB5F">
            <w:pPr>
              <w:keepNext w:val="0"/>
              <w:keepLines w:val="0"/>
              <w:pageBreakBefore w:val="0"/>
              <w:widowControl w:val="0"/>
              <w:kinsoku/>
              <w:wordWrap/>
              <w:overflowPunct/>
              <w:topLinePunct w:val="0"/>
              <w:autoSpaceDE/>
              <w:autoSpaceDN/>
              <w:bidi w:val="0"/>
              <w:adjustRightInd/>
              <w:snapToGrid/>
              <w:spacing w:after="20" w:line="240" w:lineRule="auto"/>
              <w:jc w:val="center"/>
              <w:textAlignment w:val="auto"/>
              <w:rPr>
                <w:rFonts w:hint="eastAsia" w:ascii="仿宋" w:hAnsi="仿宋" w:eastAsia="仿宋" w:cs="仿宋"/>
                <w:b/>
                <w:bCs/>
                <w:sz w:val="20"/>
                <w:szCs w:val="20"/>
                <w:highlight w:val="none"/>
              </w:rPr>
            </w:pPr>
            <w:r>
              <w:rPr>
                <w:rFonts w:hint="eastAsia" w:ascii="仿宋" w:hAnsi="仿宋" w:eastAsia="仿宋" w:cs="仿宋"/>
                <w:b/>
                <w:bCs/>
                <w:spacing w:val="7"/>
                <w:sz w:val="20"/>
                <w:szCs w:val="20"/>
                <w:highlight w:val="none"/>
              </w:rPr>
              <w:t>工作内</w:t>
            </w:r>
            <w:r>
              <w:rPr>
                <w:rFonts w:hint="eastAsia" w:ascii="仿宋" w:hAnsi="仿宋" w:eastAsia="仿宋" w:cs="仿宋"/>
                <w:b/>
                <w:bCs/>
                <w:spacing w:val="6"/>
                <w:sz w:val="20"/>
                <w:szCs w:val="20"/>
                <w:highlight w:val="none"/>
              </w:rPr>
              <w:t>容</w:t>
            </w:r>
          </w:p>
        </w:tc>
        <w:tc>
          <w:tcPr>
            <w:tcW w:w="1164" w:type="dxa"/>
            <w:vAlign w:val="center"/>
          </w:tcPr>
          <w:p w14:paraId="2D62C360">
            <w:pPr>
              <w:keepNext w:val="0"/>
              <w:keepLines w:val="0"/>
              <w:pageBreakBefore w:val="0"/>
              <w:widowControl w:val="0"/>
              <w:kinsoku/>
              <w:wordWrap/>
              <w:overflowPunct/>
              <w:topLinePunct w:val="0"/>
              <w:autoSpaceDE/>
              <w:autoSpaceDN/>
              <w:bidi w:val="0"/>
              <w:adjustRightInd/>
              <w:snapToGrid/>
              <w:spacing w:after="20" w:line="240" w:lineRule="auto"/>
              <w:jc w:val="center"/>
              <w:textAlignment w:val="auto"/>
              <w:rPr>
                <w:rFonts w:hint="default" w:ascii="仿宋" w:hAnsi="仿宋" w:eastAsia="仿宋" w:cs="仿宋"/>
                <w:b/>
                <w:bCs/>
                <w:spacing w:val="7"/>
                <w:sz w:val="20"/>
                <w:szCs w:val="20"/>
                <w:highlight w:val="none"/>
                <w:lang w:val="en-US" w:eastAsia="zh-CN"/>
              </w:rPr>
            </w:pPr>
            <w:r>
              <w:rPr>
                <w:rFonts w:hint="eastAsia" w:ascii="仿宋" w:hAnsi="仿宋" w:eastAsia="仿宋" w:cs="仿宋"/>
                <w:b/>
                <w:bCs/>
                <w:spacing w:val="7"/>
                <w:sz w:val="20"/>
                <w:szCs w:val="20"/>
                <w:highlight w:val="none"/>
                <w:lang w:val="en-US" w:eastAsia="zh-CN"/>
              </w:rPr>
              <w:t>小区数量</w:t>
            </w:r>
          </w:p>
        </w:tc>
        <w:tc>
          <w:tcPr>
            <w:tcW w:w="1882" w:type="dxa"/>
            <w:vAlign w:val="center"/>
          </w:tcPr>
          <w:p w14:paraId="043773DE">
            <w:pPr>
              <w:keepNext w:val="0"/>
              <w:keepLines w:val="0"/>
              <w:pageBreakBefore w:val="0"/>
              <w:widowControl w:val="0"/>
              <w:kinsoku/>
              <w:wordWrap/>
              <w:overflowPunct/>
              <w:topLinePunct w:val="0"/>
              <w:autoSpaceDE/>
              <w:autoSpaceDN/>
              <w:bidi w:val="0"/>
              <w:adjustRightInd/>
              <w:snapToGrid/>
              <w:spacing w:after="20" w:line="240" w:lineRule="auto"/>
              <w:jc w:val="center"/>
              <w:textAlignment w:val="auto"/>
              <w:rPr>
                <w:rFonts w:hint="default" w:ascii="仿宋" w:hAnsi="仿宋" w:eastAsia="仿宋" w:cs="仿宋"/>
                <w:b/>
                <w:bCs/>
                <w:sz w:val="20"/>
                <w:szCs w:val="20"/>
                <w:highlight w:val="none"/>
                <w:lang w:val="en-US" w:eastAsia="zh-CN"/>
              </w:rPr>
            </w:pPr>
            <w:r>
              <w:rPr>
                <w:rFonts w:hint="eastAsia" w:ascii="仿宋" w:hAnsi="仿宋" w:eastAsia="仿宋" w:cs="仿宋"/>
                <w:b/>
                <w:bCs/>
                <w:spacing w:val="9"/>
                <w:sz w:val="20"/>
                <w:szCs w:val="20"/>
                <w:highlight w:val="none"/>
                <w:lang w:val="en-US" w:eastAsia="zh-CN"/>
              </w:rPr>
              <w:t>含税完全综合单价</w:t>
            </w:r>
          </w:p>
        </w:tc>
        <w:tc>
          <w:tcPr>
            <w:tcW w:w="1286" w:type="dxa"/>
            <w:vAlign w:val="center"/>
          </w:tcPr>
          <w:p w14:paraId="483807CC">
            <w:pPr>
              <w:keepNext w:val="0"/>
              <w:keepLines w:val="0"/>
              <w:pageBreakBefore w:val="0"/>
              <w:widowControl w:val="0"/>
              <w:kinsoku/>
              <w:wordWrap/>
              <w:overflowPunct/>
              <w:topLinePunct w:val="0"/>
              <w:autoSpaceDE/>
              <w:autoSpaceDN/>
              <w:bidi w:val="0"/>
              <w:adjustRightInd/>
              <w:snapToGrid/>
              <w:spacing w:after="20" w:line="240" w:lineRule="auto"/>
              <w:jc w:val="center"/>
              <w:textAlignment w:val="auto"/>
              <w:rPr>
                <w:rFonts w:hint="eastAsia" w:ascii="仿宋" w:hAnsi="仿宋" w:eastAsia="仿宋" w:cs="仿宋"/>
                <w:b/>
                <w:bCs/>
                <w:sz w:val="20"/>
                <w:szCs w:val="20"/>
                <w:highlight w:val="none"/>
              </w:rPr>
            </w:pPr>
            <w:r>
              <w:rPr>
                <w:rFonts w:hint="eastAsia" w:ascii="仿宋" w:hAnsi="仿宋" w:eastAsia="仿宋" w:cs="仿宋"/>
                <w:b/>
                <w:bCs/>
                <w:spacing w:val="4"/>
                <w:sz w:val="20"/>
                <w:szCs w:val="20"/>
                <w:highlight w:val="none"/>
              </w:rPr>
              <w:t>备</w:t>
            </w:r>
            <w:r>
              <w:rPr>
                <w:rFonts w:hint="eastAsia" w:ascii="仿宋" w:hAnsi="仿宋" w:eastAsia="仿宋" w:cs="仿宋"/>
                <w:b/>
                <w:bCs/>
                <w:spacing w:val="3"/>
                <w:sz w:val="20"/>
                <w:szCs w:val="20"/>
                <w:highlight w:val="none"/>
              </w:rPr>
              <w:t>注</w:t>
            </w:r>
          </w:p>
        </w:tc>
      </w:tr>
      <w:tr w14:paraId="4D7C8D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6" w:hRule="atLeast"/>
          <w:jc w:val="center"/>
        </w:trPr>
        <w:tc>
          <w:tcPr>
            <w:tcW w:w="3002" w:type="dxa"/>
            <w:vAlign w:val="center"/>
          </w:tcPr>
          <w:p w14:paraId="12E43CB1">
            <w:pPr>
              <w:keepNext w:val="0"/>
              <w:keepLines w:val="0"/>
              <w:pageBreakBefore w:val="0"/>
              <w:widowControl w:val="0"/>
              <w:kinsoku/>
              <w:wordWrap/>
              <w:overflowPunct/>
              <w:topLinePunct w:val="0"/>
              <w:autoSpaceDE/>
              <w:autoSpaceDN/>
              <w:bidi w:val="0"/>
              <w:adjustRightInd/>
              <w:snapToGrid/>
              <w:spacing w:after="20" w:line="240" w:lineRule="auto"/>
              <w:jc w:val="center"/>
              <w:textAlignment w:val="auto"/>
              <w:rPr>
                <w:rFonts w:hint="eastAsia" w:ascii="仿宋" w:hAnsi="仿宋" w:eastAsia="仿宋" w:cs="仿宋"/>
                <w:sz w:val="20"/>
                <w:szCs w:val="20"/>
                <w:highlight w:val="none"/>
                <w:lang w:val="en-US" w:eastAsia="zh-CN"/>
              </w:rPr>
            </w:pPr>
            <w:r>
              <w:rPr>
                <w:rFonts w:hint="eastAsia" w:ascii="仿宋" w:hAnsi="仿宋" w:eastAsia="仿宋" w:cs="仿宋"/>
                <w:spacing w:val="7"/>
                <w:sz w:val="20"/>
                <w:szCs w:val="20"/>
                <w:highlight w:val="none"/>
                <w:lang w:val="en-US" w:eastAsia="zh-CN"/>
              </w:rPr>
              <w:t>回迁小区车位分配服务</w:t>
            </w:r>
          </w:p>
        </w:tc>
        <w:tc>
          <w:tcPr>
            <w:tcW w:w="1164" w:type="dxa"/>
            <w:vAlign w:val="center"/>
          </w:tcPr>
          <w:p w14:paraId="7D823178">
            <w:pPr>
              <w:keepNext w:val="0"/>
              <w:keepLines w:val="0"/>
              <w:pageBreakBefore w:val="0"/>
              <w:widowControl w:val="0"/>
              <w:kinsoku/>
              <w:wordWrap/>
              <w:overflowPunct/>
              <w:topLinePunct w:val="0"/>
              <w:autoSpaceDE/>
              <w:autoSpaceDN/>
              <w:bidi w:val="0"/>
              <w:adjustRightInd/>
              <w:snapToGrid/>
              <w:spacing w:after="20" w:line="240" w:lineRule="auto"/>
              <w:jc w:val="center"/>
              <w:textAlignment w:val="auto"/>
              <w:rPr>
                <w:rFonts w:hint="default" w:ascii="仿宋" w:hAnsi="仿宋" w:eastAsia="仿宋" w:cs="仿宋"/>
                <w:spacing w:val="7"/>
                <w:sz w:val="20"/>
                <w:szCs w:val="20"/>
                <w:highlight w:val="none"/>
                <w:lang w:val="en-US" w:eastAsia="zh-CN"/>
              </w:rPr>
            </w:pPr>
            <w:r>
              <w:rPr>
                <w:rFonts w:hint="eastAsia" w:ascii="仿宋" w:hAnsi="仿宋" w:eastAsia="仿宋" w:cs="仿宋"/>
                <w:spacing w:val="7"/>
                <w:sz w:val="20"/>
                <w:szCs w:val="20"/>
                <w:highlight w:val="none"/>
                <w:lang w:val="en-US" w:eastAsia="zh-CN"/>
              </w:rPr>
              <w:t>3个</w:t>
            </w:r>
          </w:p>
        </w:tc>
        <w:tc>
          <w:tcPr>
            <w:tcW w:w="1882" w:type="dxa"/>
            <w:vAlign w:val="center"/>
          </w:tcPr>
          <w:p w14:paraId="2B11E975">
            <w:pPr>
              <w:keepNext w:val="0"/>
              <w:keepLines w:val="0"/>
              <w:pageBreakBefore w:val="0"/>
              <w:widowControl w:val="0"/>
              <w:tabs>
                <w:tab w:val="left" w:pos="1255"/>
              </w:tabs>
              <w:kinsoku/>
              <w:wordWrap/>
              <w:overflowPunct/>
              <w:topLinePunct w:val="0"/>
              <w:autoSpaceDE/>
              <w:autoSpaceDN/>
              <w:bidi w:val="0"/>
              <w:adjustRightInd/>
              <w:snapToGrid/>
              <w:spacing w:after="20" w:line="240" w:lineRule="auto"/>
              <w:jc w:val="center"/>
              <w:textAlignment w:val="auto"/>
              <w:rPr>
                <w:rFonts w:hint="default" w:ascii="仿宋" w:hAnsi="仿宋" w:eastAsia="仿宋" w:cs="仿宋"/>
                <w:sz w:val="20"/>
                <w:szCs w:val="20"/>
                <w:highlight w:val="none"/>
                <w:lang w:val="en-US"/>
              </w:rPr>
            </w:pPr>
            <w:r>
              <w:rPr>
                <w:rFonts w:hint="eastAsia" w:ascii="仿宋" w:hAnsi="仿宋" w:eastAsia="仿宋" w:cs="仿宋"/>
                <w:b w:val="0"/>
                <w:bCs w:val="0"/>
                <w:spacing w:val="5"/>
                <w:sz w:val="20"/>
                <w:szCs w:val="20"/>
                <w:highlight w:val="none"/>
                <w:u w:val="single"/>
                <w:lang w:val="en-US" w:eastAsia="zh-CN"/>
              </w:rPr>
              <w:t xml:space="preserve">      </w:t>
            </w:r>
            <w:r>
              <w:rPr>
                <w:rFonts w:hint="eastAsia" w:ascii="仿宋" w:hAnsi="仿宋" w:eastAsia="仿宋" w:cs="仿宋"/>
                <w:b w:val="0"/>
                <w:bCs w:val="0"/>
                <w:spacing w:val="5"/>
                <w:sz w:val="20"/>
                <w:szCs w:val="20"/>
                <w:highlight w:val="none"/>
                <w:u w:val="none"/>
                <w:lang w:val="en-US" w:eastAsia="zh-CN"/>
              </w:rPr>
              <w:t>元/小区</w:t>
            </w:r>
          </w:p>
        </w:tc>
        <w:tc>
          <w:tcPr>
            <w:tcW w:w="1286" w:type="dxa"/>
            <w:vAlign w:val="center"/>
          </w:tcPr>
          <w:p w14:paraId="2079BE59">
            <w:pPr>
              <w:keepNext w:val="0"/>
              <w:keepLines w:val="0"/>
              <w:pageBreakBefore w:val="0"/>
              <w:widowControl w:val="0"/>
              <w:kinsoku/>
              <w:wordWrap/>
              <w:overflowPunct/>
              <w:topLinePunct w:val="0"/>
              <w:autoSpaceDE/>
              <w:autoSpaceDN/>
              <w:bidi w:val="0"/>
              <w:adjustRightInd/>
              <w:snapToGrid/>
              <w:spacing w:after="20" w:line="240" w:lineRule="auto"/>
              <w:ind w:left="0" w:leftChars="0" w:firstLine="400" w:firstLineChars="200"/>
              <w:jc w:val="center"/>
              <w:textAlignment w:val="auto"/>
              <w:rPr>
                <w:rFonts w:hint="eastAsia" w:ascii="仿宋" w:hAnsi="仿宋" w:eastAsia="仿宋" w:cs="仿宋"/>
                <w:sz w:val="20"/>
                <w:szCs w:val="20"/>
                <w:highlight w:val="none"/>
              </w:rPr>
            </w:pPr>
          </w:p>
        </w:tc>
      </w:tr>
    </w:tbl>
    <w:p w14:paraId="414E4931">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四、付款方式</w:t>
      </w:r>
    </w:p>
    <w:p w14:paraId="7E443DD4">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rPr>
        <w:t>分阶段进行支付：乙方按照要求，每完成一个回迁小区车位分配的服务内容并验收合格后，甲方支付该部分合同价款，达到付款条件起30日内，支付该部分合同金额的100.00%。</w:t>
      </w:r>
    </w:p>
    <w:p w14:paraId="39A07E1D">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2.付款依据</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根据</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出具的确认后的</w:t>
      </w:r>
      <w:r>
        <w:rPr>
          <w:rFonts w:hint="eastAsia" w:ascii="仿宋" w:hAnsi="仿宋" w:eastAsia="仿宋" w:cs="仿宋"/>
          <w:sz w:val="20"/>
          <w:szCs w:val="20"/>
          <w:highlight w:val="none"/>
          <w:lang w:val="en-US" w:eastAsia="zh-CN"/>
        </w:rPr>
        <w:t>资料</w:t>
      </w:r>
      <w:r>
        <w:rPr>
          <w:rFonts w:hint="eastAsia" w:ascii="仿宋" w:hAnsi="仿宋" w:eastAsia="仿宋" w:cs="仿宋"/>
          <w:sz w:val="20"/>
          <w:szCs w:val="20"/>
          <w:highlight w:val="none"/>
        </w:rPr>
        <w:t>报告</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提供的等额增值税普通发票。</w:t>
      </w:r>
    </w:p>
    <w:p w14:paraId="00F0B75A">
      <w:pPr>
        <w:keepNext w:val="0"/>
        <w:keepLines w:val="0"/>
        <w:pageBreakBefore w:val="0"/>
        <w:numPr>
          <w:ilvl w:val="0"/>
          <w:numId w:val="1"/>
        </w:numPr>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服务期</w:t>
      </w:r>
    </w:p>
    <w:p w14:paraId="49963EFB">
      <w:pPr>
        <w:keepNext w:val="0"/>
        <w:keepLines w:val="0"/>
        <w:pageBreakBefore w:val="0"/>
        <w:numPr>
          <w:ilvl w:val="0"/>
          <w:numId w:val="0"/>
        </w:numPr>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yellow"/>
        </w:rPr>
      </w:pPr>
      <w:r>
        <w:rPr>
          <w:rFonts w:hint="eastAsia" w:ascii="仿宋" w:hAnsi="仿宋" w:eastAsia="仿宋" w:cs="仿宋"/>
          <w:kern w:val="2"/>
          <w:sz w:val="20"/>
          <w:szCs w:val="20"/>
          <w:highlight w:val="none"/>
        </w:rPr>
        <w:t>合同签订后，</w:t>
      </w:r>
      <w:r>
        <w:rPr>
          <w:rFonts w:hint="eastAsia" w:ascii="仿宋" w:hAnsi="仿宋" w:eastAsia="仿宋" w:cs="仿宋"/>
          <w:kern w:val="2"/>
          <w:sz w:val="20"/>
          <w:szCs w:val="20"/>
          <w:highlight w:val="none"/>
          <w:lang w:val="en-US" w:eastAsia="zh-CN"/>
        </w:rPr>
        <w:t>分配车位</w:t>
      </w:r>
      <w:r>
        <w:rPr>
          <w:rFonts w:hint="eastAsia" w:ascii="仿宋" w:hAnsi="仿宋" w:eastAsia="仿宋" w:cs="仿宋"/>
          <w:kern w:val="2"/>
          <w:sz w:val="20"/>
          <w:szCs w:val="20"/>
          <w:highlight w:val="none"/>
        </w:rPr>
        <w:t>工作开展之日起，</w:t>
      </w:r>
      <w:r>
        <w:rPr>
          <w:rFonts w:hint="eastAsia" w:ascii="仿宋" w:hAnsi="仿宋" w:eastAsia="仿宋" w:cs="仿宋"/>
          <w:sz w:val="20"/>
          <w:szCs w:val="20"/>
          <w:highlight w:val="none"/>
          <w:u w:val="none"/>
          <w:lang w:val="en-US" w:eastAsia="zh-CN"/>
        </w:rPr>
        <w:t>具体时间以甲方通知为准，每个回迁小区车位分配</w:t>
      </w:r>
      <w:r>
        <w:rPr>
          <w:rFonts w:hint="eastAsia" w:ascii="仿宋" w:hAnsi="仿宋" w:eastAsia="仿宋" w:cs="仿宋"/>
          <w:kern w:val="2"/>
          <w:sz w:val="20"/>
          <w:szCs w:val="20"/>
          <w:highlight w:val="none"/>
        </w:rPr>
        <w:t>服务期不超过</w:t>
      </w:r>
      <w:r>
        <w:rPr>
          <w:rFonts w:hint="eastAsia" w:ascii="仿宋" w:hAnsi="仿宋" w:eastAsia="仿宋" w:cs="仿宋"/>
          <w:kern w:val="2"/>
          <w:sz w:val="20"/>
          <w:szCs w:val="20"/>
          <w:highlight w:val="none"/>
          <w:u w:val="single"/>
          <w:lang w:val="en-US" w:eastAsia="zh-CN"/>
        </w:rPr>
        <w:t>30</w:t>
      </w:r>
      <w:r>
        <w:rPr>
          <w:rFonts w:hint="eastAsia" w:ascii="仿宋" w:hAnsi="仿宋" w:eastAsia="仿宋" w:cs="仿宋"/>
          <w:kern w:val="2"/>
          <w:sz w:val="20"/>
          <w:szCs w:val="20"/>
          <w:highlight w:val="none"/>
        </w:rPr>
        <w:t>天</w:t>
      </w:r>
      <w:r>
        <w:rPr>
          <w:rFonts w:hint="eastAsia" w:ascii="仿宋" w:hAnsi="仿宋" w:eastAsia="仿宋" w:cs="仿宋"/>
          <w:sz w:val="20"/>
          <w:szCs w:val="20"/>
          <w:highlight w:val="none"/>
        </w:rPr>
        <w:t>。</w:t>
      </w:r>
    </w:p>
    <w:p w14:paraId="2A938B62">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六、质量保证</w:t>
      </w:r>
    </w:p>
    <w:p w14:paraId="11CAA197">
      <w:pPr>
        <w:pStyle w:val="6"/>
        <w:keepNext w:val="0"/>
        <w:keepLines w:val="0"/>
        <w:pageBreakBefore w:val="0"/>
        <w:kinsoku/>
        <w:wordWrap/>
        <w:overflowPunct/>
        <w:topLinePunct w:val="0"/>
        <w:autoSpaceDE/>
        <w:autoSpaceDN/>
        <w:bidi w:val="0"/>
        <w:snapToGrid/>
        <w:spacing w:after="20" w:line="240" w:lineRule="auto"/>
        <w:ind w:firstLine="400" w:firstLineChars="200"/>
        <w:textAlignment w:val="auto"/>
        <w:outlineLvl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1.服务应符合国家有关规范。</w:t>
      </w:r>
    </w:p>
    <w:p w14:paraId="2EC7E62F">
      <w:pPr>
        <w:pStyle w:val="6"/>
        <w:keepNext w:val="0"/>
        <w:keepLines w:val="0"/>
        <w:pageBreakBefore w:val="0"/>
        <w:kinsoku/>
        <w:wordWrap/>
        <w:overflowPunct/>
        <w:topLinePunct w:val="0"/>
        <w:autoSpaceDE/>
        <w:autoSpaceDN/>
        <w:bidi w:val="0"/>
        <w:snapToGrid/>
        <w:spacing w:after="20" w:line="240" w:lineRule="auto"/>
        <w:ind w:firstLine="400" w:firstLineChars="200"/>
        <w:textAlignment w:val="auto"/>
        <w:outlineLvl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2.</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lang w:eastAsia="zh-CN"/>
        </w:rPr>
        <w:t>应根据</w:t>
      </w:r>
      <w:r>
        <w:rPr>
          <w:rFonts w:hint="eastAsia" w:ascii="仿宋" w:hAnsi="仿宋" w:eastAsia="仿宋" w:cs="仿宋"/>
          <w:sz w:val="20"/>
          <w:szCs w:val="20"/>
          <w:highlight w:val="none"/>
          <w:lang w:val="en-US" w:eastAsia="zh-CN"/>
        </w:rPr>
        <w:t>相关</w:t>
      </w:r>
      <w:r>
        <w:rPr>
          <w:rFonts w:hint="eastAsia" w:ascii="仿宋" w:hAnsi="仿宋" w:eastAsia="仿宋" w:cs="仿宋"/>
          <w:sz w:val="20"/>
          <w:szCs w:val="20"/>
          <w:highlight w:val="none"/>
          <w:lang w:eastAsia="zh-CN"/>
        </w:rPr>
        <w:t>规范及质量要求进行服务工作，</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lang w:eastAsia="zh-CN"/>
        </w:rPr>
        <w:t>在服务过程中起到配合、监督及管理的作用。</w:t>
      </w:r>
    </w:p>
    <w:p w14:paraId="286B05AF">
      <w:pPr>
        <w:pStyle w:val="6"/>
        <w:keepNext w:val="0"/>
        <w:keepLines w:val="0"/>
        <w:pageBreakBefore w:val="0"/>
        <w:kinsoku/>
        <w:wordWrap/>
        <w:overflowPunct/>
        <w:topLinePunct w:val="0"/>
        <w:autoSpaceDE/>
        <w:autoSpaceDN/>
        <w:bidi w:val="0"/>
        <w:snapToGrid/>
        <w:spacing w:after="20" w:line="240" w:lineRule="auto"/>
        <w:ind w:firstLine="400" w:firstLineChars="200"/>
        <w:textAlignment w:val="auto"/>
        <w:outlineLvl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3.在服务期内，如果发现服务范围、内容和服务质量等存在与合同中任何一项不符，</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lang w:eastAsia="zh-CN"/>
        </w:rPr>
        <w:t>应在最短时间内，以书面形式向</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lang w:eastAsia="zh-CN"/>
        </w:rPr>
        <w:t>提出索赔，同时通告采购代理机构。</w:t>
      </w:r>
    </w:p>
    <w:p w14:paraId="41B9011F">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七、服务内容及要求</w:t>
      </w:r>
    </w:p>
    <w:p w14:paraId="2F9CAACA">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分配车位</w:t>
      </w:r>
      <w:r>
        <w:rPr>
          <w:rFonts w:hint="eastAsia" w:ascii="仿宋" w:hAnsi="仿宋" w:eastAsia="仿宋" w:cs="仿宋"/>
          <w:sz w:val="20"/>
          <w:szCs w:val="20"/>
          <w:highlight w:val="none"/>
        </w:rPr>
        <w:t>工作应遵循国家相关政策、法律法规，不得发生违法、违规事件，不能因行为不当引起村民的纠纷投诉。</w:t>
      </w:r>
    </w:p>
    <w:p w14:paraId="09C000F8">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八、政府采购合同履行</w:t>
      </w:r>
    </w:p>
    <w:p w14:paraId="5C9C914D">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color w:val="000000"/>
          <w:sz w:val="20"/>
          <w:szCs w:val="20"/>
          <w:highlight w:val="none"/>
          <w:lang w:bidi="ar"/>
        </w:rPr>
        <w:t>政府采购合同履行中，甲方需追加与合同标的相同服务的，在不改变合同其他条款的前提下，可以与乙方协商签订补充合同，但所有补充合同的采购金额不得超过原合同采购金额的百分之十。</w:t>
      </w:r>
    </w:p>
    <w:p w14:paraId="7B39E505">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九、验收</w:t>
      </w:r>
    </w:p>
    <w:p w14:paraId="491CDE6A">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1.按国家</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行业相关标准及甲方</w:t>
      </w:r>
      <w:r>
        <w:rPr>
          <w:rFonts w:hint="eastAsia" w:ascii="仿宋" w:hAnsi="仿宋" w:eastAsia="仿宋" w:cs="仿宋"/>
          <w:sz w:val="20"/>
          <w:szCs w:val="20"/>
          <w:highlight w:val="none"/>
        </w:rPr>
        <w:t>要求进行验收。</w:t>
      </w:r>
    </w:p>
    <w:p w14:paraId="71FEBEF0">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进行验收，若认为验收不合格，</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应重新调整且进行重新验收。</w:t>
      </w:r>
    </w:p>
    <w:p w14:paraId="26DEDE68">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3.验收依据：</w:t>
      </w:r>
    </w:p>
    <w:p w14:paraId="735D59A5">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①本项目磋商文件、磋商响应文件；</w:t>
      </w:r>
    </w:p>
    <w:p w14:paraId="6C923184">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②本合同及附件文本；</w:t>
      </w:r>
    </w:p>
    <w:p w14:paraId="4840EDCC">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③合同签订时国家及行业现行的标准和技术规范。</w:t>
      </w:r>
    </w:p>
    <w:p w14:paraId="26136D5F">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④</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应向</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提交项目实施过程中的所有资料，以便</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日后</w:t>
      </w:r>
      <w:r>
        <w:rPr>
          <w:rFonts w:hint="eastAsia" w:ascii="仿宋" w:hAnsi="仿宋" w:eastAsia="仿宋" w:cs="仿宋"/>
          <w:sz w:val="20"/>
          <w:szCs w:val="20"/>
          <w:highlight w:val="none"/>
          <w:lang w:val="en-US" w:eastAsia="zh-CN"/>
        </w:rPr>
        <w:t>检查工作</w:t>
      </w:r>
      <w:r>
        <w:rPr>
          <w:rFonts w:hint="eastAsia" w:ascii="仿宋" w:hAnsi="仿宋" w:eastAsia="仿宋" w:cs="仿宋"/>
          <w:sz w:val="20"/>
          <w:szCs w:val="20"/>
          <w:highlight w:val="none"/>
        </w:rPr>
        <w:t>。</w:t>
      </w:r>
    </w:p>
    <w:p w14:paraId="2B30ED83">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十、技术要求</w:t>
      </w:r>
    </w:p>
    <w:p w14:paraId="4D29A940">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满足竞争性磋商文件中采购内容及技术要求。</w:t>
      </w:r>
    </w:p>
    <w:p w14:paraId="58BA75BC">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十一、双方的权利和义务</w:t>
      </w:r>
    </w:p>
    <w:p w14:paraId="26B290CE">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的权利和义务</w:t>
      </w:r>
    </w:p>
    <w:p w14:paraId="64BF5F5A">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有权对合同规定范围内</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的服务行为进行监督和检查，拥有监管权。对</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认为不合理的部分有权下达整改通知书，并要求</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限期整改。</w:t>
      </w:r>
    </w:p>
    <w:p w14:paraId="299BDF34">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2.负责检查监督</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管理工作的实施及制度的执行情况。</w:t>
      </w:r>
    </w:p>
    <w:p w14:paraId="783FA4F0">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3.根据本合同规定，按时向</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支付应付服务费用。</w:t>
      </w:r>
    </w:p>
    <w:p w14:paraId="70F9318F">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4.验收应按国家</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行业相关标准及甲方</w:t>
      </w:r>
      <w:r>
        <w:rPr>
          <w:rFonts w:hint="eastAsia" w:ascii="仿宋" w:hAnsi="仿宋" w:eastAsia="仿宋" w:cs="仿宋"/>
          <w:sz w:val="20"/>
          <w:szCs w:val="20"/>
          <w:highlight w:val="none"/>
        </w:rPr>
        <w:t>要求进行验收。</w:t>
      </w:r>
    </w:p>
    <w:p w14:paraId="1B4342DF">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5.国家法律、法规所规定由</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承担的其它责任。</w:t>
      </w:r>
    </w:p>
    <w:p w14:paraId="09D39AD8">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的权利和义务</w:t>
      </w:r>
    </w:p>
    <w:p w14:paraId="137032C5">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1.对本合同规定的委托服务范围内的服务义务。</w:t>
      </w:r>
    </w:p>
    <w:p w14:paraId="36A8A3E1">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2.根据本合同的规定向</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收取相关服务费用，并有权在本项目管理范围内管理及合理使用。</w:t>
      </w:r>
    </w:p>
    <w:p w14:paraId="72604B81">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3.及时向</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通告本项目服务范围内有关服务的重大事项，及时配合处理</w:t>
      </w:r>
      <w:r>
        <w:rPr>
          <w:rFonts w:hint="eastAsia" w:ascii="仿宋" w:hAnsi="仿宋" w:eastAsia="仿宋" w:cs="仿宋"/>
          <w:sz w:val="20"/>
          <w:szCs w:val="20"/>
          <w:highlight w:val="none"/>
          <w:lang w:val="en-US" w:eastAsia="zh-CN"/>
        </w:rPr>
        <w:t>甲方后续</w:t>
      </w:r>
      <w:r>
        <w:rPr>
          <w:rFonts w:hint="eastAsia" w:ascii="仿宋" w:hAnsi="仿宋" w:eastAsia="仿宋" w:cs="仿宋"/>
          <w:sz w:val="20"/>
          <w:szCs w:val="20"/>
          <w:highlight w:val="none"/>
        </w:rPr>
        <w:t>过程中出现的问题。</w:t>
      </w:r>
    </w:p>
    <w:p w14:paraId="10286D4C">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4.接受项目行业管理部门及政府有关部门的指导，接受</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的监督。</w:t>
      </w:r>
    </w:p>
    <w:p w14:paraId="78906554">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5.国家法律、法规所规定由</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承担的其它责任。</w:t>
      </w:r>
    </w:p>
    <w:p w14:paraId="04E135CA">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十二、保密</w:t>
      </w:r>
    </w:p>
    <w:p w14:paraId="3C8F75AE">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对工作中了解到的</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的技术、机密等进行严格保密，不得向他人泄漏。本合同的解除或终止不免除</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应承担的保密义务。</w:t>
      </w:r>
    </w:p>
    <w:p w14:paraId="36299AEF">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十三、知识产权</w:t>
      </w:r>
    </w:p>
    <w:p w14:paraId="700D8787">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应对所供产品具有或已取得合法知识产权，</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应保证所供产品及服务不会出现因第三方提出侵犯其专利权、商标权或其它知识产权而引发法律或经济纠纷，否则由</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负责解决并承担全部责任；如因此影响到</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的正常使用，</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有权单方解除本合同，</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应无条件向</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退回已收取的全部合同价款，给</w:t>
      </w:r>
      <w:r>
        <w:rPr>
          <w:rFonts w:hint="eastAsia" w:ascii="仿宋" w:hAnsi="仿宋" w:eastAsia="仿宋" w:cs="仿宋"/>
          <w:sz w:val="20"/>
          <w:szCs w:val="20"/>
          <w:highlight w:val="none"/>
          <w:lang w:val="en-US" w:eastAsia="zh-CN"/>
        </w:rPr>
        <w:t>甲方</w:t>
      </w:r>
      <w:r>
        <w:rPr>
          <w:rFonts w:hint="eastAsia" w:ascii="仿宋" w:hAnsi="仿宋" w:eastAsia="仿宋" w:cs="仿宋"/>
          <w:sz w:val="20"/>
          <w:szCs w:val="20"/>
          <w:highlight w:val="none"/>
        </w:rPr>
        <w:t>造成损失的，由</w:t>
      </w:r>
      <w:r>
        <w:rPr>
          <w:rFonts w:hint="eastAsia" w:ascii="仿宋" w:hAnsi="仿宋" w:eastAsia="仿宋" w:cs="仿宋"/>
          <w:sz w:val="20"/>
          <w:szCs w:val="20"/>
          <w:highlight w:val="none"/>
          <w:lang w:val="en-US" w:eastAsia="zh-CN"/>
        </w:rPr>
        <w:t>乙方</w:t>
      </w:r>
      <w:r>
        <w:rPr>
          <w:rFonts w:hint="eastAsia" w:ascii="仿宋" w:hAnsi="仿宋" w:eastAsia="仿宋" w:cs="仿宋"/>
          <w:sz w:val="20"/>
          <w:szCs w:val="20"/>
          <w:highlight w:val="none"/>
        </w:rPr>
        <w:t>一并赔偿。</w:t>
      </w:r>
    </w:p>
    <w:p w14:paraId="0AACEBC0">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十四、合同争议的解决</w:t>
      </w:r>
    </w:p>
    <w:p w14:paraId="399228A1">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因本合同产生纠纷，如协商无法解决，双方均有权向甲方所在地人民法院提起诉讼。</w:t>
      </w:r>
    </w:p>
    <w:p w14:paraId="4E1C43FF">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十五、不可抗力情况下的免责约定</w:t>
      </w:r>
    </w:p>
    <w:p w14:paraId="503E8E6A">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双方约定不可抗力情况包括：五级以上地震、大风、大雨、大雪。受到不可抗力事件影响的一方应尽可能在最短的时间内通过书面形式将不可抗力事件的发生通知另一方，并在该不可抗力事件发生后10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14:paraId="723D710E">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十六、</w:t>
      </w:r>
      <w:r>
        <w:rPr>
          <w:rFonts w:hint="eastAsia" w:ascii="仿宋" w:hAnsi="仿宋" w:eastAsia="仿宋" w:cs="仿宋"/>
          <w:b w:val="0"/>
          <w:bCs w:val="0"/>
          <w:sz w:val="20"/>
          <w:szCs w:val="20"/>
          <w:highlight w:val="none"/>
        </w:rPr>
        <w:t>除本合同约定，合同一经签订，不得擅自变更、中止或者终止合同。对确需变更、调整或者中止、终止合同的，应按规定履行相应的手续。</w:t>
      </w:r>
    </w:p>
    <w:p w14:paraId="5130B861">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十七、违约责任</w:t>
      </w:r>
    </w:p>
    <w:p w14:paraId="37969FA2">
      <w:pPr>
        <w:pStyle w:val="6"/>
        <w:keepNext w:val="0"/>
        <w:keepLines w:val="0"/>
        <w:pageBreakBefore w:val="0"/>
        <w:kinsoku/>
        <w:wordWrap/>
        <w:overflowPunct/>
        <w:topLinePunct w:val="0"/>
        <w:autoSpaceDE/>
        <w:autoSpaceDN/>
        <w:bidi w:val="0"/>
        <w:snapToGrid/>
        <w:spacing w:after="20" w:line="240" w:lineRule="auto"/>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eastAsia="zh-CN"/>
        </w:rPr>
        <w:t>.</w:t>
      </w:r>
      <w:r>
        <w:rPr>
          <w:rFonts w:hint="eastAsia" w:ascii="仿宋" w:hAnsi="仿宋" w:eastAsia="仿宋" w:cs="仿宋"/>
          <w:sz w:val="20"/>
          <w:szCs w:val="20"/>
        </w:rPr>
        <w:t>按《中华人民共和国民法典》中的相关条款执行。</w:t>
      </w:r>
    </w:p>
    <w:p w14:paraId="5729D47E">
      <w:pPr>
        <w:pStyle w:val="6"/>
        <w:keepNext w:val="0"/>
        <w:keepLines w:val="0"/>
        <w:pageBreakBefore w:val="0"/>
        <w:kinsoku/>
        <w:wordWrap/>
        <w:overflowPunct/>
        <w:topLinePunct w:val="0"/>
        <w:autoSpaceDE/>
        <w:autoSpaceDN/>
        <w:bidi w:val="0"/>
        <w:snapToGrid/>
        <w:spacing w:after="20" w:line="240" w:lineRule="auto"/>
        <w:ind w:firstLine="400" w:firstLineChars="200"/>
        <w:jc w:val="both"/>
        <w:textAlignment w:val="auto"/>
        <w:rPr>
          <w:rFonts w:hint="eastAsia" w:ascii="仿宋" w:hAnsi="仿宋" w:eastAsia="仿宋" w:cs="仿宋"/>
          <w:sz w:val="20"/>
          <w:szCs w:val="20"/>
          <w:lang w:eastAsia="zh-CN"/>
        </w:rPr>
      </w:pPr>
      <w:r>
        <w:rPr>
          <w:rFonts w:hint="eastAsia" w:ascii="仿宋" w:hAnsi="仿宋" w:eastAsia="仿宋" w:cs="仿宋"/>
          <w:sz w:val="20"/>
          <w:szCs w:val="20"/>
        </w:rPr>
        <w:t>2</w:t>
      </w:r>
      <w:r>
        <w:rPr>
          <w:rFonts w:hint="eastAsia" w:ascii="仿宋" w:hAnsi="仿宋" w:eastAsia="仿宋" w:cs="仿宋"/>
          <w:sz w:val="20"/>
          <w:szCs w:val="20"/>
          <w:lang w:eastAsia="zh-CN"/>
        </w:rPr>
        <w:t>.</w:t>
      </w:r>
      <w:r>
        <w:rPr>
          <w:rFonts w:hint="eastAsia" w:ascii="仿宋" w:hAnsi="仿宋" w:eastAsia="仿宋" w:cs="仿宋"/>
          <w:sz w:val="20"/>
          <w:szCs w:val="20"/>
        </w:rPr>
        <w:t>如乙方所提供的服务内容出现瑕疵及质量问题，或乙方擅自解除或终止本合同的</w:t>
      </w:r>
      <w:r>
        <w:rPr>
          <w:rFonts w:hint="eastAsia" w:ascii="仿宋" w:hAnsi="仿宋" w:eastAsia="仿宋" w:cs="仿宋"/>
          <w:sz w:val="20"/>
          <w:szCs w:val="20"/>
          <w:lang w:eastAsia="zh-CN"/>
        </w:rPr>
        <w:t>，</w:t>
      </w:r>
      <w:r>
        <w:rPr>
          <w:rFonts w:hint="eastAsia" w:ascii="仿宋" w:hAnsi="仿宋" w:eastAsia="仿宋" w:cs="仿宋"/>
          <w:sz w:val="20"/>
          <w:szCs w:val="20"/>
          <w:lang w:val="en-US" w:eastAsia="zh-CN"/>
        </w:rPr>
        <w:t>或</w:t>
      </w:r>
      <w:r>
        <w:rPr>
          <w:rFonts w:hint="eastAsia" w:ascii="仿宋" w:hAnsi="仿宋" w:eastAsia="仿宋" w:cs="仿宋"/>
          <w:sz w:val="20"/>
          <w:szCs w:val="20"/>
        </w:rPr>
        <w:t>乙方未按合同要求提供服务或服务不能满足合同要求</w:t>
      </w:r>
      <w:r>
        <w:rPr>
          <w:rFonts w:hint="eastAsia" w:ascii="仿宋" w:hAnsi="仿宋" w:eastAsia="仿宋" w:cs="仿宋"/>
          <w:sz w:val="20"/>
          <w:szCs w:val="20"/>
          <w:lang w:eastAsia="zh-CN"/>
        </w:rPr>
        <w:t>，经甲方要求限期整改仍未整改完成后拒绝整改的，甲方有权单方解除本协议，乙方应当按照合同金额的</w:t>
      </w:r>
      <w:r>
        <w:rPr>
          <w:rFonts w:hint="eastAsia" w:ascii="仿宋" w:hAnsi="仿宋" w:eastAsia="仿宋" w:cs="仿宋"/>
          <w:sz w:val="20"/>
          <w:szCs w:val="20"/>
          <w:lang w:val="en-US" w:eastAsia="zh-CN"/>
        </w:rPr>
        <w:t>20%向甲方承担违约金</w:t>
      </w:r>
      <w:r>
        <w:rPr>
          <w:rFonts w:hint="eastAsia" w:ascii="仿宋" w:hAnsi="仿宋" w:eastAsia="仿宋" w:cs="仿宋"/>
          <w:sz w:val="20"/>
          <w:szCs w:val="20"/>
          <w:lang w:eastAsia="zh-CN"/>
        </w:rPr>
        <w:t>。</w:t>
      </w:r>
    </w:p>
    <w:p w14:paraId="095CEAB3">
      <w:pPr>
        <w:pStyle w:val="6"/>
        <w:keepNext w:val="0"/>
        <w:keepLines w:val="0"/>
        <w:pageBreakBefore w:val="0"/>
        <w:kinsoku/>
        <w:wordWrap/>
        <w:overflowPunct/>
        <w:topLinePunct w:val="0"/>
        <w:autoSpaceDE/>
        <w:autoSpaceDN/>
        <w:bidi w:val="0"/>
        <w:snapToGrid/>
        <w:spacing w:after="20" w:line="240" w:lineRule="auto"/>
        <w:ind w:firstLine="400" w:firstLineChars="200"/>
        <w:jc w:val="both"/>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3.乙方因履行本合同义务造成第三人财产或人身损害的，应当自行承担损害赔偿义务。因此给甲方财产造成损失的，乙方应当予以赔偿。</w:t>
      </w:r>
    </w:p>
    <w:p w14:paraId="56A07616">
      <w:pPr>
        <w:pStyle w:val="6"/>
        <w:keepNext w:val="0"/>
        <w:keepLines w:val="0"/>
        <w:pageBreakBefore w:val="0"/>
        <w:kinsoku/>
        <w:wordWrap/>
        <w:overflowPunct/>
        <w:topLinePunct w:val="0"/>
        <w:autoSpaceDE/>
        <w:autoSpaceDN/>
        <w:bidi w:val="0"/>
        <w:snapToGrid/>
        <w:spacing w:after="20" w:line="240" w:lineRule="auto"/>
        <w:ind w:firstLine="400" w:firstLineChars="200"/>
        <w:jc w:val="both"/>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4.乙方及其员工在履行本协议过程中受到第三人伤害的，应当予由乙方自行负责。</w:t>
      </w:r>
    </w:p>
    <w:p w14:paraId="5574C273">
      <w:pPr>
        <w:pStyle w:val="6"/>
        <w:keepNext w:val="0"/>
        <w:keepLines w:val="0"/>
        <w:pageBreakBefore w:val="0"/>
        <w:kinsoku/>
        <w:wordWrap/>
        <w:overflowPunct/>
        <w:topLinePunct w:val="0"/>
        <w:autoSpaceDE/>
        <w:autoSpaceDN/>
        <w:bidi w:val="0"/>
        <w:snapToGrid/>
        <w:spacing w:after="20" w:line="240" w:lineRule="auto"/>
        <w:ind w:firstLine="400" w:firstLineChars="200"/>
        <w:jc w:val="both"/>
        <w:textAlignment w:val="auto"/>
        <w:rPr>
          <w:rFonts w:hint="eastAsia" w:ascii="仿宋" w:hAnsi="仿宋" w:eastAsia="仿宋" w:cs="仿宋"/>
          <w:sz w:val="20"/>
          <w:szCs w:val="20"/>
        </w:rPr>
      </w:pPr>
      <w:r>
        <w:rPr>
          <w:rFonts w:hint="eastAsia" w:ascii="仿宋" w:hAnsi="仿宋" w:eastAsia="仿宋" w:cs="仿宋"/>
          <w:sz w:val="20"/>
          <w:szCs w:val="20"/>
          <w:lang w:val="en-US" w:eastAsia="zh-CN"/>
        </w:rPr>
        <w:t>5.</w:t>
      </w:r>
      <w:r>
        <w:rPr>
          <w:rFonts w:hint="eastAsia" w:ascii="仿宋" w:hAnsi="仿宋" w:eastAsia="仿宋" w:cs="仿宋"/>
          <w:sz w:val="20"/>
          <w:szCs w:val="20"/>
        </w:rPr>
        <w:t>甲乙双方应遵守合同并执行合同中的各项规定，保证合同的正常履行。</w:t>
      </w:r>
    </w:p>
    <w:p w14:paraId="50EA6BB2">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lang w:val="en-US" w:eastAsia="zh-CN"/>
        </w:rPr>
        <w:t>6</w:t>
      </w:r>
      <w:r>
        <w:rPr>
          <w:rFonts w:hint="eastAsia" w:ascii="仿宋" w:hAnsi="仿宋" w:eastAsia="仿宋" w:cs="仿宋"/>
          <w:sz w:val="20"/>
          <w:szCs w:val="20"/>
          <w:lang w:eastAsia="zh-CN"/>
        </w:rPr>
        <w:t>.</w:t>
      </w:r>
      <w:r>
        <w:rPr>
          <w:rFonts w:hint="eastAsia" w:ascii="仿宋" w:hAnsi="仿宋" w:eastAsia="仿宋" w:cs="仿宋"/>
          <w:sz w:val="20"/>
          <w:szCs w:val="20"/>
        </w:rPr>
        <w:t>如碰到不可抗力因素造成无法按照原计划提供服务的，由甲乙双方协商解决。</w:t>
      </w:r>
    </w:p>
    <w:p w14:paraId="55EABCDD">
      <w:pPr>
        <w:keepNext w:val="0"/>
        <w:keepLines w:val="0"/>
        <w:pageBreakBefore w:val="0"/>
        <w:kinsoku/>
        <w:wordWrap/>
        <w:overflowPunct/>
        <w:topLinePunct w:val="0"/>
        <w:autoSpaceDE/>
        <w:autoSpaceDN/>
        <w:bidi w:val="0"/>
        <w:snapToGrid/>
        <w:spacing w:after="20" w:line="240" w:lineRule="auto"/>
        <w:ind w:firstLine="402" w:firstLineChars="200"/>
        <w:textAlignment w:val="auto"/>
        <w:rPr>
          <w:rFonts w:hint="eastAsia" w:ascii="仿宋" w:hAnsi="仿宋" w:eastAsia="仿宋" w:cs="仿宋"/>
          <w:b w:val="0"/>
          <w:bCs w:val="0"/>
          <w:sz w:val="20"/>
          <w:szCs w:val="20"/>
          <w:highlight w:val="none"/>
        </w:rPr>
      </w:pPr>
      <w:r>
        <w:rPr>
          <w:rFonts w:hint="eastAsia" w:ascii="仿宋" w:hAnsi="仿宋" w:eastAsia="仿宋" w:cs="仿宋"/>
          <w:b/>
          <w:bCs/>
          <w:sz w:val="20"/>
          <w:szCs w:val="20"/>
          <w:highlight w:val="none"/>
        </w:rPr>
        <w:t>十八、合同订立</w:t>
      </w:r>
    </w:p>
    <w:p w14:paraId="78BFE1F5">
      <w:pPr>
        <w:keepNext w:val="0"/>
        <w:keepLines w:val="0"/>
        <w:pageBreakBefore w:val="0"/>
        <w:kinsoku/>
        <w:wordWrap/>
        <w:overflowPunct/>
        <w:topLinePunct w:val="0"/>
        <w:autoSpaceDE/>
        <w:autoSpaceDN/>
        <w:bidi w:val="0"/>
        <w:snapToGrid/>
        <w:spacing w:after="20" w:line="240" w:lineRule="auto"/>
        <w:ind w:firstLine="400" w:firstLineChars="200"/>
        <w:textAlignment w:val="auto"/>
        <w:rPr>
          <w:rFonts w:hint="eastAsia" w:ascii="仿宋" w:hAnsi="仿宋" w:eastAsia="仿宋" w:cs="仿宋"/>
          <w:sz w:val="20"/>
          <w:szCs w:val="20"/>
          <w:highlight w:val="none"/>
        </w:rPr>
      </w:pPr>
      <w:r>
        <w:rPr>
          <w:rFonts w:hint="eastAsia" w:ascii="仿宋" w:hAnsi="仿宋" w:eastAsia="仿宋" w:cs="仿宋"/>
          <w:sz w:val="20"/>
          <w:szCs w:val="20"/>
          <w:highlight w:val="none"/>
        </w:rPr>
        <w:t>本合同一式</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份，具有同等法律效力，双方各执</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份，监管部门备案</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份。各方签字盖章后生效，合同执行完毕自动失效。(合同的服务承诺则长期有效)。</w:t>
      </w:r>
    </w:p>
    <w:p w14:paraId="68BAB90D">
      <w:pPr>
        <w:keepNext w:val="0"/>
        <w:keepLines w:val="0"/>
        <w:pageBreakBefore w:val="0"/>
        <w:widowControl w:val="0"/>
        <w:kinsoku/>
        <w:wordWrap/>
        <w:overflowPunct/>
        <w:topLinePunct w:val="0"/>
        <w:autoSpaceDE/>
        <w:autoSpaceDN/>
        <w:bidi w:val="0"/>
        <w:adjustRightInd/>
        <w:snapToGrid/>
        <w:spacing w:after="20" w:line="240" w:lineRule="auto"/>
        <w:textAlignment w:val="auto"/>
        <w:rPr>
          <w:rFonts w:hint="eastAsia" w:ascii="仿宋" w:hAnsi="仿宋" w:eastAsia="仿宋" w:cs="仿宋"/>
          <w:b/>
          <w:bCs/>
          <w:sz w:val="20"/>
          <w:szCs w:val="20"/>
          <w:highlight w:val="none"/>
        </w:rPr>
      </w:pPr>
      <w:r>
        <w:rPr>
          <w:rFonts w:hint="eastAsia" w:ascii="仿宋" w:hAnsi="仿宋" w:eastAsia="仿宋" w:cs="仿宋"/>
          <w:bCs/>
          <w:sz w:val="20"/>
          <w:szCs w:val="20"/>
          <w:highlight w:val="none"/>
          <w:lang w:val="en-US" w:eastAsia="zh-CN"/>
        </w:rPr>
        <w:t>以下无正文。</w:t>
      </w:r>
    </w:p>
    <w:p w14:paraId="22540502">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采购人：（盖章）</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供应商： （盖章）</w:t>
      </w:r>
    </w:p>
    <w:p w14:paraId="6354309D">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地 址：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地 址：</w:t>
      </w:r>
    </w:p>
    <w:p w14:paraId="409D507F">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邮政编码：</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邮政编码：</w:t>
      </w:r>
    </w:p>
    <w:p w14:paraId="77A8FDB2">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法定代表人或其授权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法定代表人或其授权</w:t>
      </w:r>
    </w:p>
    <w:p w14:paraId="4147158E">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的代理人：（签字）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的代理人：（签字）</w:t>
      </w:r>
    </w:p>
    <w:p w14:paraId="58297C1C">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开户银行：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开户银行：</w:t>
      </w:r>
    </w:p>
    <w:p w14:paraId="4B713078">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账号：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账号：</w:t>
      </w:r>
    </w:p>
    <w:p w14:paraId="0C4EA56F">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电话：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电话：</w:t>
      </w:r>
    </w:p>
    <w:p w14:paraId="1977BB8C">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highlight w:val="none"/>
        </w:rPr>
      </w:pPr>
      <w:r>
        <w:rPr>
          <w:rFonts w:hint="eastAsia" w:ascii="仿宋" w:hAnsi="仿宋" w:eastAsia="仿宋" w:cs="仿宋"/>
          <w:b w:val="0"/>
          <w:bCs w:val="0"/>
          <w:sz w:val="20"/>
          <w:szCs w:val="20"/>
          <w:highlight w:val="none"/>
        </w:rPr>
        <w:t xml:space="preserve">传真：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传真：</w:t>
      </w:r>
    </w:p>
    <w:p w14:paraId="075687C3">
      <w:pPr>
        <w:keepNext w:val="0"/>
        <w:keepLines w:val="0"/>
        <w:pageBreakBefore w:val="0"/>
        <w:kinsoku/>
        <w:wordWrap/>
        <w:overflowPunct/>
        <w:topLinePunct w:val="0"/>
        <w:autoSpaceDE/>
        <w:autoSpaceDN/>
        <w:bidi w:val="0"/>
        <w:snapToGrid/>
        <w:spacing w:after="20" w:line="240" w:lineRule="auto"/>
        <w:textAlignment w:val="auto"/>
        <w:rPr>
          <w:rFonts w:hint="eastAsia" w:ascii="仿宋" w:hAnsi="仿宋" w:eastAsia="仿宋" w:cs="仿宋"/>
          <w:b w:val="0"/>
          <w:bCs w:val="0"/>
          <w:sz w:val="20"/>
          <w:szCs w:val="20"/>
        </w:rPr>
      </w:pPr>
      <w:r>
        <w:rPr>
          <w:rFonts w:hint="eastAsia" w:ascii="仿宋" w:hAnsi="仿宋" w:eastAsia="仿宋" w:cs="仿宋"/>
          <w:b w:val="0"/>
          <w:bCs w:val="0"/>
          <w:sz w:val="20"/>
          <w:szCs w:val="20"/>
          <w:highlight w:val="none"/>
        </w:rPr>
        <w:t xml:space="preserve">电子邮箱： </w:t>
      </w:r>
      <w:r>
        <w:rPr>
          <w:rFonts w:hint="eastAsia" w:ascii="仿宋" w:hAnsi="仿宋" w:eastAsia="仿宋" w:cs="仿宋"/>
          <w:b w:val="0"/>
          <w:bCs w:val="0"/>
          <w:sz w:val="20"/>
          <w:szCs w:val="20"/>
          <w:highlight w:val="none"/>
          <w:lang w:val="en-US" w:eastAsia="zh-CN"/>
        </w:rPr>
        <w:t xml:space="preserve">                                         </w:t>
      </w:r>
      <w:r>
        <w:rPr>
          <w:rFonts w:hint="eastAsia" w:ascii="仿宋" w:hAnsi="仿宋" w:eastAsia="仿宋" w:cs="仿宋"/>
          <w:b w:val="0"/>
          <w:bCs w:val="0"/>
          <w:sz w:val="20"/>
          <w:szCs w:val="20"/>
          <w:highlight w:val="none"/>
        </w:rPr>
        <w:t>电子邮箱</w:t>
      </w:r>
    </w:p>
    <w:p w14:paraId="044E4C9A">
      <w:pPr>
        <w:keepNext w:val="0"/>
        <w:keepLines w:val="0"/>
        <w:pageBreakBefore w:val="0"/>
        <w:kinsoku/>
        <w:wordWrap/>
        <w:overflowPunct/>
        <w:topLinePunct w:val="0"/>
        <w:autoSpaceDE/>
        <w:autoSpaceDN/>
        <w:bidi w:val="0"/>
        <w:snapToGrid/>
        <w:spacing w:after="20" w:line="240" w:lineRule="auto"/>
        <w:textAlignment w:val="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417805"/>
    <w:multiLevelType w:val="singleLevel"/>
    <w:tmpl w:val="E14178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BC3A4D"/>
    <w:rsid w:val="30BC3A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utoSpaceDE w:val="0"/>
      <w:autoSpaceDN w:val="0"/>
      <w:adjustRightInd w:val="0"/>
      <w:snapToGrid w:val="0"/>
      <w:jc w:val="left"/>
    </w:pPr>
    <w:rPr>
      <w:rFonts w:ascii="宋体"/>
      <w:kern w:val="0"/>
      <w:sz w:val="18"/>
      <w:szCs w:val="20"/>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2026-01-08T02:07:00Z</dcterms:created>
  <dc:creator>W</dc:creator>
  <cp:lastModifiedBy>W</cp:lastModifiedBy>
  <dcterms:modified xsi:type="dcterms:W3CDTF">2026-01-08T02:08:11Z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BA42EA9FA4034530A552EDA6BDE25664_11</vt:lpwstr>
  </property>
  <property fmtid="{D5CDD505-2E9C-101B-9397-08002B2CF9AE}" pid="4" name="KSOTemplateDocerSaveRecord">
    <vt:lpwstr>eyJoZGlkIjoiOGQxZDQyYjEzNTMyMmM2MjRlM2NjM2ExN2I0YjhmNzciLCJ1c2VySWQiOiI0MTA1MzM4NDYifQ==</vt:lpwstr>
  </property>
</Properties>
</file>