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版本号：CGZC-2025-262（ZR20GN2025-CS-088）20260108001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新筑辖区2026年围墙日常维护修缮工程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CGZC-2025-262（ZR20GN2025-CS-088）</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新筑辖区2026年围墙日常维护修缮工程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CGZC-2025-262（ZR20GN2025-CS-088）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新筑辖区2026年围墙日常维护修缮工程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为保障辖区良好环境，确保新筑片区已建成设施的品质和效力，现需对新筑辖区围墙日常维护修缮工程进行采购。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采购包1（新筑辖区2026年围墙日常维护修缮工程）：属于专门面向中小企业采购。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1、供应商要求：供应商须具备建设行政主管部门颁发的建筑工程施工总承包三级（含）及以上资质，且具有有效的安全生产许可证；</w:t>
      </w:r>
    </w:p>
    <w:p>
      <w:pPr>
        <w:pStyle w:val="null3"/>
      </w:pPr>
      <w:r>
        <w:rPr>
          <w:rFonts w:ascii="仿宋_GB2312" w:hAnsi="仿宋_GB2312" w:cs="仿宋_GB2312" w:eastAsia="仿宋_GB2312"/>
        </w:rPr>
        <w:t>2、拟派项目负责人资质和专业等级：项目经理须具备建筑工程专业二级（含）及以上注册建造师证书和有效的安全生产考核合格证（建安B证），且未担任其他在建工程项目的声明；</w:t>
      </w:r>
    </w:p>
    <w:p>
      <w:pPr>
        <w:pStyle w:val="null3"/>
      </w:pPr>
      <w:r>
        <w:rPr>
          <w:rFonts w:ascii="仿宋_GB2312" w:hAnsi="仿宋_GB2312" w:cs="仿宋_GB2312" w:eastAsia="仿宋_GB2312"/>
        </w:rPr>
        <w:t>3、法定代表人授权委托书：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1,091,000.00</w:t>
      </w:r>
    </w:p>
    <w:p>
      <w:pPr>
        <w:pStyle w:val="null3"/>
      </w:pPr>
      <w:r>
        <w:rPr>
          <w:rFonts w:ascii="仿宋_GB2312" w:hAnsi="仿宋_GB2312" w:cs="仿宋_GB2312" w:eastAsia="仿宋_GB2312"/>
        </w:rPr>
        <w:t>采购包最高限价（元）: 1,091,000.00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围墙日常维护修缮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标的名称：围墙日常维护修缮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为保障辖区良好环境，确保新筑片区已建成设施的品质和效力，现需对新筑辖区围墙日常维护修缮工程进行采购。</w:t>
            </w:r>
          </w:p>
          <w:p>
            <w:pPr>
              <w:pStyle w:val="null3"/>
            </w:pPr>
            <w:r>
              <w:rPr>
                <w:rFonts w:ascii="仿宋_GB2312" w:hAnsi="仿宋_GB2312" w:cs="仿宋_GB2312" w:eastAsia="仿宋_GB2312"/>
              </w:rPr>
              <w:t>二、工程内容和施工地点、计划工期、缺陷责任期、质量保修期</w:t>
            </w:r>
          </w:p>
          <w:p>
            <w:pPr>
              <w:pStyle w:val="null3"/>
            </w:pPr>
            <w:r>
              <w:rPr>
                <w:rFonts w:ascii="仿宋_GB2312" w:hAnsi="仿宋_GB2312" w:cs="仿宋_GB2312" w:eastAsia="仿宋_GB2312"/>
              </w:rPr>
              <w:t>1.工程内容：新筑辖区围墙日常维护修缮工程</w:t>
            </w:r>
          </w:p>
          <w:p>
            <w:pPr>
              <w:pStyle w:val="null3"/>
            </w:pPr>
            <w:r>
              <w:rPr>
                <w:rFonts w:ascii="仿宋_GB2312" w:hAnsi="仿宋_GB2312" w:cs="仿宋_GB2312" w:eastAsia="仿宋_GB2312"/>
              </w:rPr>
              <w:t>2.工程地点：采购人指定地点</w:t>
            </w:r>
          </w:p>
          <w:p>
            <w:pPr>
              <w:pStyle w:val="null3"/>
            </w:pPr>
            <w:r>
              <w:rPr>
                <w:rFonts w:ascii="仿宋_GB2312" w:hAnsi="仿宋_GB2312" w:cs="仿宋_GB2312" w:eastAsia="仿宋_GB2312"/>
              </w:rPr>
              <w:t>3.计划工期：合同期限为1年，由采购人根据需要以任务单形式具体委托成交供应商修建围墙，每次具体修建工期以任务单约定为准。</w:t>
            </w:r>
          </w:p>
          <w:p>
            <w:pPr>
              <w:pStyle w:val="null3"/>
            </w:pPr>
            <w:r>
              <w:rPr>
                <w:rFonts w:ascii="仿宋_GB2312" w:hAnsi="仿宋_GB2312" w:cs="仿宋_GB2312" w:eastAsia="仿宋_GB2312"/>
              </w:rPr>
              <w:t>4.缺陷责任期：/。</w:t>
            </w:r>
          </w:p>
          <w:p>
            <w:pPr>
              <w:pStyle w:val="null3"/>
            </w:pPr>
            <w:r>
              <w:rPr>
                <w:rFonts w:ascii="仿宋_GB2312" w:hAnsi="仿宋_GB2312" w:cs="仿宋_GB2312" w:eastAsia="仿宋_GB2312"/>
              </w:rPr>
              <w:t>5.质量保修期：/。</w:t>
            </w:r>
          </w:p>
          <w:p>
            <w:pPr>
              <w:pStyle w:val="null3"/>
            </w:pPr>
            <w:r>
              <w:rPr>
                <w:rFonts w:ascii="仿宋_GB2312" w:hAnsi="仿宋_GB2312" w:cs="仿宋_GB2312" w:eastAsia="仿宋_GB2312"/>
              </w:rPr>
              <w:t>三、工程量清单</w:t>
            </w:r>
          </w:p>
          <w:tbl>
            <w:tblPr>
              <w:tblBorders>
                <w:top w:val="none" w:color="000000" w:sz="4"/>
                <w:left w:val="none" w:color="000000" w:sz="4"/>
                <w:bottom w:val="none" w:color="000000" w:sz="4"/>
                <w:right w:val="none" w:color="000000" w:sz="4"/>
                <w:insideH w:val="none"/>
                <w:insideV w:val="none"/>
              </w:tblBorders>
            </w:tblPr>
            <w:tblGrid>
              <w:gridCol w:w="361"/>
              <w:gridCol w:w="1070"/>
              <w:gridCol w:w="361"/>
              <w:gridCol w:w="538"/>
              <w:gridCol w:w="843"/>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工程内容</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暂估量</w:t>
                  </w:r>
                </w:p>
              </w:tc>
              <w:tc>
                <w:tcPr>
                  <w:tcW w:type="dxa" w:w="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最高含税完全综合单价限价</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850</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960元/米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2-4示范墙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650元/米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2-4普通墙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450元/米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墙体粉刷、灰线及人工费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95元/米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琉璃瓦贴装及人工费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105元/米</w:t>
                  </w:r>
                </w:p>
              </w:tc>
            </w:tr>
          </w:tbl>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1、根据《西安市扬尘污染防治条例》本次工程应考虑治污减霾和降尘费用；</w:t>
            </w:r>
          </w:p>
          <w:p>
            <w:pPr>
              <w:pStyle w:val="null3"/>
            </w:pPr>
            <w:r>
              <w:rPr>
                <w:rFonts w:ascii="仿宋_GB2312" w:hAnsi="仿宋_GB2312" w:cs="仿宋_GB2312" w:eastAsia="仿宋_GB2312"/>
              </w:rPr>
              <w:t>2、为保证施工现场的秩序及安全，降低施工影响，应新建临时围挡；</w:t>
            </w:r>
          </w:p>
          <w:p>
            <w:pPr>
              <w:pStyle w:val="null3"/>
            </w:pPr>
            <w:r>
              <w:rPr>
                <w:rFonts w:ascii="仿宋_GB2312" w:hAnsi="仿宋_GB2312" w:cs="仿宋_GB2312" w:eastAsia="仿宋_GB2312"/>
              </w:rPr>
              <w:t>3、对可能发生的零星工程，应适当考虑相应机械台班；</w:t>
            </w:r>
          </w:p>
          <w:p>
            <w:pPr>
              <w:pStyle w:val="null3"/>
            </w:pPr>
            <w:r>
              <w:rPr>
                <w:rFonts w:ascii="仿宋_GB2312" w:hAnsi="仿宋_GB2312" w:cs="仿宋_GB2312" w:eastAsia="仿宋_GB2312"/>
              </w:rPr>
              <w:t>4、因施工范围较大，为保证施工安全有序进行，应派驻专人看管现场；</w:t>
            </w:r>
          </w:p>
          <w:p>
            <w:pPr>
              <w:pStyle w:val="null3"/>
            </w:pPr>
            <w:r>
              <w:rPr>
                <w:rFonts w:ascii="仿宋_GB2312" w:hAnsi="仿宋_GB2312" w:cs="仿宋_GB2312" w:eastAsia="仿宋_GB2312"/>
              </w:rPr>
              <w:t>5、及时向采购人以书面形式汇报项目进度、工程量及安全情况；</w:t>
            </w:r>
          </w:p>
          <w:p>
            <w:pPr>
              <w:pStyle w:val="null3"/>
            </w:pPr>
            <w:r>
              <w:rPr>
                <w:rFonts w:ascii="仿宋_GB2312" w:hAnsi="仿宋_GB2312" w:cs="仿宋_GB2312" w:eastAsia="仿宋_GB2312"/>
              </w:rPr>
              <w:t>6、施工现场加强安全措施，并对施工人员进行安全教育，施工人员必须持证上岗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3.3.2本项目专门面向中小企业，供应商应为中型、小型、微型企业或监狱企业或残疾人福利性单位。项目所属行业：（根据《工业和信息化部、国家统计局、国家发展和改革委员会、财政部关于印发中小企业划型标准规定的通知》（工信部联企业〔2011〕300 号）规定的划分标准：（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3.3.3落实政府采购政策：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③、《国家互联网信息办公室 工业和信息化部 公安部 财政部 国家认证认可监督管理委员会关于调整网络安全专用产品安全管理有关事项的公告》（2023年第1号）。 ④、《陕西省财政厅关于加快推进我省中小企业政府采购信用融资工作的通知》（陕财办采〔2020〕15 号）、陕西省财政厅关于印发《陕西省中小企业政府采购信用融资办法》（陕财办采〔2018〕23 号）、《陕西省财政厅、中国人民银行西安分行关于深入推进政府采购信用融资业务的通知》陕财办采〔2023〕5号。 ⑤、国务院办公厅《关于建立政府强制采购节能产品制度的通知》（国办发〔2007〕51号）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 （2）提供供应商在递交响应文件截止时间前6个月内任意一个月已缴纳的完税凭证或税务机关开具的完税证明（任意税种）（银行出具的缴税凭证或税务机关出具的证明的复印件，并加盖本单位公章）。依法免税或无须缴纳税收的供应商，应提供相应文件证明其依法免税； （3）提供供应商在递交响应文件截止时间前6个月内任意一个月已缴纳的社会保障资金缴存单据或社保机构开具的社会保险参保缴费情况证明，并加盖本单位公章。不需要缴纳社会保障资金的供应商，应提供相应文件证明其不需要缴纳社会保障资金； （4）具备履行合同所必需的设备和专业技术能力的承诺； （5）供应商参加政府采购活动前3年内在经营活动中没有重大违法记录的书面声明。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供应商须具备建设行政主管部门颁发的建筑工程施工总承包三级（含）及以上资质，且具有有效的安全生产许可证；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拟派项目负责人资质和专业等级</w:t>
            </w:r>
          </w:p>
        </w:tc>
        <w:tc>
          <w:tcPr>
            <w:tcW w:type="dxa" w:w="3322"/>
          </w:tcPr>
          <w:p>
            <w:pPr>
              <w:pStyle w:val="null3"/>
            </w:pPr>
            <w:r>
              <w:rPr>
                <w:rFonts w:ascii="仿宋_GB2312" w:hAnsi="仿宋_GB2312" w:cs="仿宋_GB2312" w:eastAsia="仿宋_GB2312"/>
              </w:rPr>
              <w:t>项目经理须具备建筑工程专业二级（含）及以上注册建造师证书和有效的安全生产考核合格证（建安B证），且未担任其他在建工程项目的声明；</w:t>
            </w:r>
          </w:p>
        </w:tc>
        <w:tc>
          <w:tcPr>
            <w:tcW w:type="dxa" w:w="1661"/>
          </w:tcPr>
          <w:p>
            <w:pPr>
              <w:pStyle w:val="null3"/>
            </w:pPr>
            <w:r>
              <w:rPr>
                <w:rFonts w:ascii="仿宋_GB2312" w:hAnsi="仿宋_GB2312" w:cs="仿宋_GB2312" w:eastAsia="仿宋_GB2312"/>
              </w:rPr>
              <w:t>项目管理机构组成表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政府采购供应商拒绝政府采购领域商业贿赂承诺书.docx 业绩一览表.docx 首次磋商报价报及分项报价表.docx 中小企业声明函 残疾人福利性单位声明函 报价函 技术服务合同条款及其他商务要求应答表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首次磋商报价报及分项报价表.docx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依据供应商提供的本项目的总体施工方案评审：内容完整、可实施、且有针对性得6分；内容完整、可实施得4分；方案基本完整得2分；未提供不得分。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依据供应商提供的本项目的安全管理方案评审，内容包含： ①施工人员安全管理方案（3分）：内容完整、可实施、且有针对性得3分；内容完整、可实施得2分；方案基本完整得1分；未提供不得分。 ②施工现场安全管理方案（3分）：内容完整、可实施、且有针对性得3分；内容完整、可实施得2分；方案基本完整得1分；未提供不得分。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根据项目情况配备实施团队，人员数量、专业结构合理，技术能力强，经验丰富。内容完整、可实施、且有针对性6分；方案基本完整得3分；未提供不得分。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确保工程质量和安全生产的技术组织措施</w:t>
            </w:r>
          </w:p>
        </w:tc>
        <w:tc>
          <w:tcPr>
            <w:tcW w:type="dxa" w:w="2492"/>
          </w:tcPr>
          <w:p>
            <w:pPr>
              <w:pStyle w:val="null3"/>
            </w:pPr>
            <w:r>
              <w:rPr>
                <w:rFonts w:ascii="仿宋_GB2312" w:hAnsi="仿宋_GB2312" w:cs="仿宋_GB2312" w:eastAsia="仿宋_GB2312"/>
              </w:rPr>
              <w:t>依据供应商提供的本项目的确保工程质量和安全生产的技术组织措施评审，内容包含： ①质量检查措施（3分）：内容完整、可实施、且有针对性得3分；内容完整、可实施得2分；方案基本完整得1分；未提供不得分。 ②质量预防及控制措施（3分）：内容完整、可实施、且有针对性得3分；内容完整、可实施得2分；方案基本完整得1分；未提供不得分； ③安全技术措施（3分）：内容完整、可实施、且有针对性得3分；内容完整、可实施得2分；方案基本完整得1分；未提供不得分。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确保文明施工和环境保护的的技术组织措施</w:t>
            </w:r>
          </w:p>
        </w:tc>
        <w:tc>
          <w:tcPr>
            <w:tcW w:type="dxa" w:w="2492"/>
          </w:tcPr>
          <w:p>
            <w:pPr>
              <w:pStyle w:val="null3"/>
            </w:pPr>
            <w:r>
              <w:rPr>
                <w:rFonts w:ascii="仿宋_GB2312" w:hAnsi="仿宋_GB2312" w:cs="仿宋_GB2312" w:eastAsia="仿宋_GB2312"/>
              </w:rPr>
              <w:t>依据供应商提供的本项目的确保文明施工的技术组织措施及环境保护措施评审，内容包含： ①文明施工目标（3分）：内容完整、可实施、且有针对性得3分；内容完整、可实施得2分；方案基本完整得1分；未提供不得分。 ②防扰民措施（3分）：内容完整、可实施、且有针对性得3分；内容完整、可实施得2分；方案基本完整得1分；未提供不得分。 ③治污减霾和防尘污染措施（3分）：内容完整、可实施、且有针对性得3分；内容完整、可实施得2分；方案基本完整得1分；未提供不得分。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依据供应商提供的本项目的确保工期的技术组织措施评审，内容包含： ①工期保障体系（3分）：内容完整、可实施、且有针对性得3分；内容完整、可实施得2分；方案基本完整得1分；未提供不得分。 ②控制方法（3分）：内容完整、可实施、且有针对性得3分；内容完整、可实施得2分；方案基本完整得1分；未提供不得分。 ③误期的补救措施：（3分）：内容完整、可实施、且有针对性得3分；内容完整、可实施得2分；方案基本完整得1分；未提供不得分。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依据供应商提供的本项目的机具设备投入计划，且合理可行、有针对性、符合本工程特点，材料供应贴紧项目进度且数量充足，操作性强得5分；材料及机具配备较合理、基本符合本工程特点得3分；材料及机具配备内容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依据供应商提供的本项目的劳动力安排计划评审：内容完整、可实施、且有针对性得5分；内容完整、可实施得3分；方案基本完整得1分；未提供不得分。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依据供应商提供的本项目的项目风险预测与防范，事故应急预案；内容完整、可实施、且有针对性得5分；内容完整、可实施得3分；方案基本完整得1分；未提供不得分。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提供2023年1月（以合同签订时间为准）至今类似项目业绩合同，每份计2分，满分10分。（注：附业绩合同扫描件或复印件。）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详见附件：首次磋商报价报及分项报价表.docx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详见附件：拟签订合同文本-新筑辖区2026年围墙日常维护修缮工程.docx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