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24409B8">
      <w:pPr>
        <w:rPr>
          <w:rFonts w:hint="eastAsia" w:ascii="仿宋" w:hAnsi="仿宋" w:eastAsia="仿宋" w:cs="宋体"/>
          <w:b/>
          <w:color w:val="auto"/>
          <w:spacing w:val="30"/>
          <w:sz w:val="24"/>
          <w:highlight w:val="none"/>
          <w:lang w:bidi="ar"/>
        </w:rPr>
      </w:pPr>
      <w:r>
        <w:rPr>
          <w:rFonts w:hint="eastAsia" w:ascii="仿宋" w:hAnsi="仿宋" w:eastAsia="仿宋" w:cs="仿宋_GB2312"/>
          <w:b/>
          <w:color w:val="auto"/>
          <w:sz w:val="24"/>
          <w:highlight w:val="none"/>
        </w:rPr>
        <w:t>附件1</w:t>
      </w:r>
    </w:p>
    <w:p w14:paraId="2F2920DD">
      <w:pPr>
        <w:jc w:val="center"/>
        <w:rPr>
          <w:rFonts w:hint="eastAsia" w:ascii="仿宋" w:hAnsi="仿宋" w:eastAsia="仿宋" w:cs="仿宋_GB2312"/>
          <w:color w:val="auto"/>
          <w:kern w:val="0"/>
          <w:sz w:val="28"/>
          <w:szCs w:val="28"/>
          <w:highlight w:val="none"/>
          <w:shd w:val="clear" w:color="auto" w:fill="FFFFFF"/>
        </w:rPr>
      </w:pPr>
      <w:bookmarkStart w:id="0" w:name="_GoBack"/>
      <w:r>
        <w:rPr>
          <w:rFonts w:hint="eastAsia" w:ascii="仿宋" w:hAnsi="仿宋" w:eastAsia="仿宋" w:cs="仿宋_GB2312"/>
          <w:b/>
          <w:bCs/>
          <w:color w:val="auto"/>
          <w:spacing w:val="-4"/>
          <w:w w:val="95"/>
          <w:sz w:val="28"/>
          <w:szCs w:val="28"/>
          <w:highlight w:val="none"/>
        </w:rPr>
        <w:t>“政采贷”业务</w:t>
      </w:r>
      <w:bookmarkEnd w:id="0"/>
      <w:r>
        <w:rPr>
          <w:rFonts w:hint="eastAsia" w:ascii="仿宋" w:hAnsi="仿宋" w:eastAsia="仿宋" w:cs="仿宋_GB2312"/>
          <w:b/>
          <w:bCs/>
          <w:color w:val="auto"/>
          <w:spacing w:val="-4"/>
          <w:w w:val="95"/>
          <w:sz w:val="28"/>
          <w:szCs w:val="28"/>
          <w:highlight w:val="none"/>
        </w:rPr>
        <w:t>介绍</w:t>
      </w:r>
    </w:p>
    <w:p w14:paraId="3A5B8036">
      <w:pPr>
        <w:spacing w:line="480" w:lineRule="auto"/>
        <w:ind w:firstLine="476" w:firstLineChars="200"/>
        <w:jc w:val="both"/>
        <w:rPr>
          <w:rFonts w:hint="eastAsia" w:ascii="仿宋" w:hAnsi="仿宋" w:eastAsia="仿宋" w:cs="仿宋"/>
          <w:snapToGrid w:val="0"/>
          <w:color w:val="000000"/>
          <w:spacing w:val="-1"/>
          <w:kern w:val="0"/>
          <w:sz w:val="24"/>
          <w:szCs w:val="24"/>
          <w:lang w:val="en-US" w:eastAsia="zh-CN" w:bidi="ar-SA"/>
        </w:rPr>
      </w:pPr>
      <w:r>
        <w:rPr>
          <w:rFonts w:hint="eastAsia" w:ascii="仿宋" w:hAnsi="仿宋" w:eastAsia="仿宋" w:cs="仿宋"/>
          <w:snapToGrid w:val="0"/>
          <w:color w:val="000000"/>
          <w:spacing w:val="-1"/>
          <w:kern w:val="0"/>
          <w:sz w:val="24"/>
          <w:szCs w:val="24"/>
          <w:lang w:val="en-US" w:eastAsia="zh-CN" w:bidi="ar-SA"/>
        </w:rPr>
        <w:t>1、政采贷，即政府采购合同融资，是银行机构以政府采购诚信考核和信用审查为基础，凭借中小企业取得并提供的政府采购合同，按优于一般中小企业贷款的利率直接向申请贷款的中小企业发放贷款的一种新融资方式。政府采购贷特点政采贷以中小企业的政府采购信用和国库集中支付作为履约保障的政府采购合同为基础，借力政府采购诚信保障，提供了银企对接的机会和相关的服务支持</w:t>
      </w:r>
    </w:p>
    <w:p w14:paraId="14F0AB3D">
      <w:pPr>
        <w:spacing w:line="480" w:lineRule="auto"/>
        <w:ind w:firstLine="476" w:firstLineChars="200"/>
        <w:jc w:val="both"/>
        <w:rPr>
          <w:rFonts w:hint="default" w:ascii="仿宋" w:hAnsi="仿宋" w:eastAsia="仿宋" w:cs="仿宋_GB2312"/>
          <w:b/>
          <w:bCs/>
          <w:color w:val="auto"/>
          <w:spacing w:val="-4"/>
          <w:w w:val="95"/>
          <w:sz w:val="28"/>
          <w:szCs w:val="28"/>
          <w:highlight w:val="none"/>
          <w:lang w:val="en-US" w:eastAsia="zh-CN"/>
        </w:rPr>
      </w:pPr>
      <w:r>
        <w:rPr>
          <w:rFonts w:hint="eastAsia" w:ascii="仿宋" w:hAnsi="仿宋" w:eastAsia="仿宋" w:cs="仿宋"/>
          <w:snapToGrid w:val="0"/>
          <w:color w:val="000000"/>
          <w:spacing w:val="-1"/>
          <w:kern w:val="0"/>
          <w:sz w:val="24"/>
          <w:szCs w:val="24"/>
          <w:lang w:val="en-US" w:eastAsia="zh-CN" w:bidi="ar-SA"/>
        </w:rPr>
        <w:t>2、政府采购信用融资联系人：王涛 15029991040 。</w:t>
      </w:r>
      <w:r>
        <w:rPr>
          <w:rFonts w:hint="eastAsia" w:ascii="仿宋" w:hAnsi="仿宋" w:eastAsia="仿宋" w:cs="仿宋_GB2312"/>
          <w:b/>
          <w:bCs/>
          <w:color w:val="auto"/>
          <w:spacing w:val="-4"/>
          <w:w w:val="95"/>
          <w:sz w:val="28"/>
          <w:szCs w:val="28"/>
          <w:highlight w:val="none"/>
          <w:lang w:val="en-US" w:eastAsia="zh-CN"/>
        </w:rPr>
        <w:br w:type="page"/>
      </w:r>
      <w:r>
        <w:rPr>
          <w:rFonts w:hint="eastAsia" w:ascii="仿宋" w:hAnsi="仿宋" w:eastAsia="仿宋" w:cs="仿宋_GB2312"/>
          <w:b/>
          <w:color w:val="auto"/>
          <w:sz w:val="24"/>
          <w:highlight w:val="none"/>
          <w:lang w:val="en-US" w:eastAsia="zh-CN"/>
        </w:rPr>
        <w:t>附件2</w:t>
      </w:r>
    </w:p>
    <w:p w14:paraId="4A1B1DB6">
      <w:pPr>
        <w:spacing w:line="480" w:lineRule="auto"/>
        <w:jc w:val="center"/>
        <w:rPr>
          <w:rFonts w:hint="eastAsia" w:ascii="仿宋" w:hAnsi="仿宋" w:eastAsia="仿宋" w:cs="仿宋_GB2312"/>
          <w:b/>
          <w:bCs/>
          <w:color w:val="auto"/>
          <w:spacing w:val="-4"/>
          <w:w w:val="95"/>
          <w:sz w:val="28"/>
          <w:szCs w:val="28"/>
          <w:highlight w:val="none"/>
        </w:rPr>
      </w:pPr>
      <w:r>
        <w:rPr>
          <w:rFonts w:hint="eastAsia" w:ascii="仿宋" w:hAnsi="仿宋" w:eastAsia="仿宋" w:cs="仿宋_GB2312"/>
          <w:b/>
          <w:bCs/>
          <w:color w:val="auto"/>
          <w:spacing w:val="-4"/>
          <w:w w:val="95"/>
          <w:sz w:val="28"/>
          <w:szCs w:val="28"/>
          <w:highlight w:val="none"/>
        </w:rPr>
        <w:t>陕西政府采购供应商信用融资信息服务平台操作手册</w:t>
      </w:r>
    </w:p>
    <w:p w14:paraId="4240BCD6">
      <w:pPr>
        <w:widowControl/>
        <w:shd w:val="clear" w:color="auto" w:fill="auto"/>
        <w:spacing w:before="0" w:beforeAutospacing="0" w:after="0" w:afterAutospacing="0" w:line="360" w:lineRule="auto"/>
        <w:ind w:firstLine="482"/>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政府采购合同融资是指在地方财政部门引导下，参与政府采购中标（成交）的供应商可凭政府采购合同向银行申请信用融资，银行按优于一般中小企业贷款利率发放贷款的融资模式。这种融资模式以国库集中支付作为履约保障的政府采购合同为基础，借力政府采购诚信保障，提供了银企对接的机会，缓解了企业融资困境。</w:t>
      </w:r>
    </w:p>
    <w:p w14:paraId="0CFE8DFA">
      <w:pPr>
        <w:widowControl/>
        <w:shd w:val="clear" w:color="auto" w:fill="auto"/>
        <w:spacing w:before="0" w:beforeAutospacing="0" w:after="0" w:afterAutospacing="0" w:line="360" w:lineRule="auto"/>
        <w:ind w:firstLine="482"/>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业务办理流程简介</w:t>
      </w:r>
    </w:p>
    <w:p w14:paraId="447DD487">
      <w:pPr>
        <w:widowControl/>
        <w:shd w:val="clear" w:color="auto" w:fill="auto"/>
        <w:spacing w:before="0" w:beforeAutospacing="0" w:after="0" w:afterAutospacing="0" w:line="360" w:lineRule="auto"/>
        <w:ind w:firstLine="482"/>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政府采购合同融资申请获批的必要条件之一，是供应商将意向申请银行指定的资金受监管账户签入采购合同，获得银行认可，以保障银行回收贷款路径安全。企业可在签署采购合同前完成在意向申请银行开户，并将开户账号签入采购合同作为唯一收款账户；如申请融资时已签署采购合同的，企业应将意向申请银行开户账号通过采购合同变更的方式，将开户账号签入采购合同作为唯一收款账户，无论哪种情况，最终的采购合同都需要获得银行的认可，才能获得银行的正式授信。</w:t>
      </w:r>
    </w:p>
    <w:p w14:paraId="4A849E38">
      <w:pPr>
        <w:widowControl/>
        <w:shd w:val="clear" w:color="auto" w:fill="auto"/>
        <w:spacing w:before="0" w:beforeAutospacing="0" w:after="0" w:afterAutospacing="0" w:line="360" w:lineRule="auto"/>
        <w:ind w:firstLine="482"/>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业务流程简图如下：</w:t>
      </w:r>
    </w:p>
    <w:p w14:paraId="655C4203">
      <w:pPr>
        <w:shd w:val="clear" w:color="auto" w:fill="auto"/>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"http://ccgp-shaanxi.gov.cn/zcdservice/upload/imgs/202105081846_1620470769847_2270.png"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607050" cy="3165475"/>
            <wp:effectExtent l="0" t="0" r="1270" b="4445"/>
            <wp:docPr id="19" name="图片 14" descr="202105081846_1620470769847_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4" descr="202105081846_1620470769847_2270"/>
                    <pic:cNvPicPr>
                      <a:picLocks noChangeAspect="1"/>
                    </pic:cNvPicPr>
                  </pic:nvPicPr>
                  <pic:blipFill>
                    <a:blip r:embed="rId4"/>
                    <a:stretch>
                      <a:fillRect/>
                    </a:stretch>
                  </pic:blipFill>
                  <pic:spPr>
                    <a:xfrm>
                      <a:off x="0" y="0"/>
                      <a:ext cx="5607050" cy="316547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269EC81B">
      <w:pPr>
        <w:widowControl/>
        <w:shd w:val="clear" w:color="auto" w:fill="auto"/>
        <w:spacing w:before="0" w:beforeAutospacing="0" w:after="240" w:afterAutospacing="0"/>
        <w:ind w:firstLine="500"/>
        <w:jc w:val="center"/>
        <w:rPr>
          <w:rFonts w:ascii="仿宋" w:hAnsi="仿宋" w:eastAsia="仿宋" w:cs="Segoe UI"/>
          <w:color w:val="auto"/>
          <w:kern w:val="0"/>
          <w:sz w:val="25"/>
          <w:szCs w:val="25"/>
          <w:highlight w:val="none"/>
          <w:lang w:val="en-US" w:eastAsia="zh-CN" w:bidi="ar-SA"/>
        </w:rPr>
      </w:pPr>
      <w:r>
        <w:rPr>
          <w:rFonts w:ascii="仿宋" w:hAnsi="仿宋" w:eastAsia="仿宋" w:cs="Segoe UI"/>
          <w:color w:val="auto"/>
          <w:kern w:val="0"/>
          <w:sz w:val="25"/>
          <w:szCs w:val="25"/>
          <w:highlight w:val="none"/>
          <w:lang w:val="en-US" w:eastAsia="zh-CN" w:bidi="ar-SA"/>
        </w:rPr>
        <w:t>未签订采购合同申请流程</w:t>
      </w:r>
    </w:p>
    <w:p w14:paraId="16F4304F">
      <w:pPr>
        <w:shd w:val="clear" w:color="auto" w:fill="auto"/>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"http://ccgp-shaanxi.gov.cn/zcdservice/upload/imgs/202105081846_1620470769846_8926.png"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558155" cy="3139440"/>
            <wp:effectExtent l="0" t="0" r="4445" b="0"/>
            <wp:docPr id="26" name="图片 15" descr="202105081846_1620470769846_8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5" descr="202105081846_1620470769846_8926"/>
                    <pic:cNvPicPr>
                      <a:picLocks noChangeAspect="1"/>
                    </pic:cNvPicPr>
                  </pic:nvPicPr>
                  <pic:blipFill>
                    <a:blip r:embed="rId5"/>
                    <a:stretch>
                      <a:fillRect/>
                    </a:stretch>
                  </pic:blipFill>
                  <pic:spPr>
                    <a:xfrm>
                      <a:off x="0" y="0"/>
                      <a:ext cx="5558155" cy="313944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26BEB0DA">
      <w:pPr>
        <w:widowControl/>
        <w:shd w:val="clear" w:color="auto" w:fill="auto"/>
        <w:spacing w:before="0" w:beforeAutospacing="0" w:after="240" w:afterAutospacing="0"/>
        <w:ind w:firstLine="500"/>
        <w:jc w:val="center"/>
        <w:rPr>
          <w:rFonts w:ascii="仿宋" w:hAnsi="仿宋" w:eastAsia="仿宋" w:cs="Segoe UI"/>
          <w:color w:val="auto"/>
          <w:kern w:val="0"/>
          <w:sz w:val="25"/>
          <w:szCs w:val="25"/>
          <w:highlight w:val="none"/>
          <w:lang w:val="en-US" w:eastAsia="zh-CN" w:bidi="ar-SA"/>
        </w:rPr>
      </w:pPr>
      <w:r>
        <w:rPr>
          <w:rFonts w:ascii="仿宋" w:hAnsi="仿宋" w:eastAsia="仿宋" w:cs="Segoe UI"/>
          <w:color w:val="auto"/>
          <w:kern w:val="0"/>
          <w:sz w:val="25"/>
          <w:szCs w:val="25"/>
          <w:highlight w:val="none"/>
          <w:lang w:val="en-US" w:eastAsia="zh-CN" w:bidi="ar-SA"/>
        </w:rPr>
        <w:t>已签订采购合同申请流程</w:t>
      </w:r>
    </w:p>
    <w:p w14:paraId="60BCA0CD">
      <w:pPr>
        <w:widowControl/>
        <w:shd w:val="clear" w:color="auto" w:fill="auto"/>
        <w:spacing w:before="0" w:beforeAutospacing="0" w:after="0" w:afterAutospacing="0" w:line="360" w:lineRule="auto"/>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1、首页</w:t>
      </w:r>
    </w:p>
    <w:p w14:paraId="06154134">
      <w:pPr>
        <w:widowControl/>
        <w:shd w:val="clear" w:color="auto" w:fill="auto"/>
        <w:spacing w:before="0" w:beforeAutospacing="0" w:after="0" w:afterAutospacing="0" w:line="360" w:lineRule="auto"/>
        <w:ind w:firstLine="480"/>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系统首页主要呈现省政府采购合同融资相关政策法规、申请基本流程、成交数据统计，及供应商帮助内容，供应商企业可由“我的账户”登录，如下图：</w:t>
      </w:r>
    </w:p>
    <w:p w14:paraId="45EEC1A7">
      <w:pPr>
        <w:shd w:val="clear" w:color="auto" w:fill="auto"/>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"http://ccgp-shaanxi.gov.cn/zcdservice/upload/imgs/202105081854_1620471246157_428.png"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365750" cy="3395980"/>
            <wp:effectExtent l="0" t="0" r="13970" b="2540"/>
            <wp:docPr id="21" name="图片 16" descr="202105081854_1620471246157_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6" descr="202105081854_1620471246157_428"/>
                    <pic:cNvPicPr>
                      <a:picLocks noChangeAspect="1"/>
                    </pic:cNvPicPr>
                  </pic:nvPicPr>
                  <pic:blipFill>
                    <a:blip r:embed="rId6"/>
                    <a:stretch>
                      <a:fillRect/>
                    </a:stretch>
                  </pic:blipFill>
                  <pic:spPr>
                    <a:xfrm>
                      <a:off x="0" y="0"/>
                      <a:ext cx="5365750" cy="339598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15CCB764">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br w:type="page"/>
      </w:r>
      <w:r>
        <w:rPr>
          <w:rFonts w:ascii="仿宋" w:hAnsi="仿宋" w:eastAsia="仿宋" w:cs="仿宋_GB2312"/>
          <w:color w:val="auto"/>
          <w:kern w:val="0"/>
          <w:sz w:val="24"/>
          <w:szCs w:val="24"/>
          <w:highlight w:val="none"/>
          <w:shd w:val="clear" w:color="auto" w:fill="FFFFFF"/>
          <w:lang w:val="en-US" w:eastAsia="zh-CN" w:bidi="ar-SA"/>
        </w:rPr>
        <w:t>2、登录及企业资料确认</w:t>
      </w:r>
    </w:p>
    <w:p w14:paraId="521E1182">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2.1账号登录</w:t>
      </w:r>
    </w:p>
    <w:p w14:paraId="1B8570EF">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陕西省政府采购网的注册用户，点击首页右上角“我的账户”按钮，凭企业统一信用代码直接登录，默认密码为123456，即进入首页默认账号登录，如下图：</w:t>
      </w:r>
    </w:p>
    <w:p w14:paraId="1CE41266">
      <w:pPr>
        <w:shd w:val="clear" w:color="auto" w:fill="auto"/>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"http://ccgp-shaanxi.gov.cn/zcdservice/upload/imgs/202105081858_1620471496032_1961.png"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645785" cy="2914015"/>
            <wp:effectExtent l="0" t="0" r="8255" b="12065"/>
            <wp:docPr id="20" name="图片 17" descr="202105081858_1620471496032_1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7" descr="202105081858_1620471496032_1961"/>
                    <pic:cNvPicPr>
                      <a:picLocks noChangeAspect="1"/>
                    </pic:cNvPicPr>
                  </pic:nvPicPr>
                  <pic:blipFill>
                    <a:blip r:embed="rId7"/>
                    <a:stretch>
                      <a:fillRect/>
                    </a:stretch>
                  </pic:blipFill>
                  <pic:spPr>
                    <a:xfrm>
                      <a:off x="0" y="0"/>
                      <a:ext cx="5645785" cy="291401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7BD73AFC">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初次登录的平台的用户，需修改登录密码，并绑定在陕西省政府采购网预留的手机号，绑定手机后,提示绑定成功，返回首页。</w:t>
      </w:r>
    </w:p>
    <w:p w14:paraId="07D93A64">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2.2企业资料确认</w:t>
      </w:r>
    </w:p>
    <w:p w14:paraId="7194CCF7">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供应商企业首次登录成功后须确认或补全企业资料，点击“提交”按钮，提示修改成功：</w:t>
      </w:r>
    </w:p>
    <w:p w14:paraId="3564121E">
      <w:pPr>
        <w:shd w:val="clear" w:color="auto" w:fill="auto"/>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"http://ccgp-shaanxi.gov.cn/zcdservice/upload/imgs/202105101741_1620639667593_6296.png"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675630" cy="3708400"/>
            <wp:effectExtent l="0" t="0" r="8890" b="10160"/>
            <wp:docPr id="22" name="图片 18" descr="202105101741_1620639667593_6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8" descr="202105101741_1620639667593_6296"/>
                    <pic:cNvPicPr>
                      <a:picLocks noChangeAspect="1"/>
                    </pic:cNvPicPr>
                  </pic:nvPicPr>
                  <pic:blipFill>
                    <a:blip r:embed="rId8"/>
                    <a:stretch>
                      <a:fillRect/>
                    </a:stretch>
                  </pic:blipFill>
                  <pic:spPr>
                    <a:xfrm>
                      <a:off x="0" y="0"/>
                      <a:ext cx="5675630" cy="370840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4682086F">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资料保存成功，即可以开始使用本系统所有功能。</w:t>
      </w:r>
    </w:p>
    <w:p w14:paraId="13E01C92">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3、可融资项目及融资意向</w:t>
      </w:r>
    </w:p>
    <w:p w14:paraId="3529627C">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3.1查看可融资项目</w:t>
      </w:r>
    </w:p>
    <w:p w14:paraId="18AA32FA">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如果企业有中标项目或成交合同，在“可融资项目”菜单中可见所有项目和合同的列表，如下图：</w:t>
      </w:r>
    </w:p>
    <w:p w14:paraId="3EB4130F">
      <w:pPr>
        <w:shd w:val="clear" w:color="auto" w:fill="auto"/>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"http://ccgp-shaanxi.gov.cn/zcdservice/upload/imgs/202105101743_1620639807591_24.png"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621020" cy="3193415"/>
            <wp:effectExtent l="0" t="0" r="2540" b="6985"/>
            <wp:docPr id="14" name="图片 19" descr="202105101743_1620639807591_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9" descr="202105101743_1620639807591_24"/>
                    <pic:cNvPicPr>
                      <a:picLocks noChangeAspect="1"/>
                    </pic:cNvPicPr>
                  </pic:nvPicPr>
                  <pic:blipFill>
                    <a:blip r:embed="rId9"/>
                    <a:stretch>
                      <a:fillRect/>
                    </a:stretch>
                  </pic:blipFill>
                  <pic:spPr>
                    <a:xfrm>
                      <a:off x="0" y="0"/>
                      <a:ext cx="5621020" cy="319341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59B0A8CF">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在列表页选择需要融资的项目或合同，点击“申请贷款”按钮开始发起融资申请，跳转到填写融资意向书页面。</w:t>
      </w:r>
    </w:p>
    <w:p w14:paraId="34E05041">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如果可融资项目较多，可通过输入关键字搜索相关中标项目或成交合同。</w:t>
      </w:r>
    </w:p>
    <w:p w14:paraId="41756794">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3.2、填写信用融资意向书</w:t>
      </w:r>
    </w:p>
    <w:p w14:paraId="1EFF4897">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为确保您的企业和个人信息在融资过程中被合法使用，需要您在平台补充一些必要信息并授权这些信息用于融资中必要的风险评估、征信查询等环节。如有错误可点击修改按钮，返回修改资料；确认填写信息完整无误后点击“下一步”。如下图：</w:t>
      </w:r>
    </w:p>
    <w:p w14:paraId="06F119D7">
      <w:pPr>
        <w:shd w:val="clear" w:color="auto" w:fill="auto"/>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"http://ccgp-shaanxi.gov.cn/zcdservice/upload/imgs/202105101748_1620640129559_9203.png"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901055" cy="7319010"/>
            <wp:effectExtent l="0" t="0" r="12065" b="11430"/>
            <wp:docPr id="17" name="图片 20" descr="202105101748_1620640129559_9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0" descr="202105101748_1620640129559_9203"/>
                    <pic:cNvPicPr>
                      <a:picLocks noChangeAspect="1"/>
                    </pic:cNvPicPr>
                  </pic:nvPicPr>
                  <pic:blipFill>
                    <a:blip r:embed="rId10"/>
                    <a:stretch>
                      <a:fillRect/>
                    </a:stretch>
                  </pic:blipFill>
                  <pic:spPr>
                    <a:xfrm>
                      <a:off x="0" y="0"/>
                      <a:ext cx="5901055" cy="731901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5343E879">
      <w:pPr>
        <w:widowControl/>
        <w:shd w:val="clear" w:color="auto" w:fill="auto"/>
        <w:spacing w:before="0" w:beforeAutospacing="0" w:after="0" w:afterAutospacing="0"/>
        <w:ind w:firstLine="500"/>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确认填写信息完整无误后点击“下一步”，选择意向银行：</w:t>
      </w:r>
    </w:p>
    <w:p w14:paraId="1605F043">
      <w:pPr>
        <w:shd w:val="clear" w:color="auto" w:fill="auto"/>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"http://ccgp-shaanxi.gov.cn/zcdservice/upload/imgs/202106021104_1622603094476_1799.png"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843270" cy="2229485"/>
            <wp:effectExtent l="0" t="0" r="8890" b="10795"/>
            <wp:docPr id="23" name="图片 21" descr="202106021104_1622603094476_1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1" descr="202106021104_1622603094476_1799"/>
                    <pic:cNvPicPr>
                      <a:picLocks noChangeAspect="1"/>
                    </pic:cNvPicPr>
                  </pic:nvPicPr>
                  <pic:blipFill>
                    <a:blip r:embed="rId11"/>
                    <a:stretch>
                      <a:fillRect/>
                    </a:stretch>
                  </pic:blipFill>
                  <pic:spPr>
                    <a:xfrm>
                      <a:off x="0" y="0"/>
                      <a:ext cx="5843270" cy="222948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6E985D69">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点击“提交融资意向”按钮，提示提交成功，并可直接点击“申请进度”查看融资进度：</w:t>
      </w:r>
    </w:p>
    <w:p w14:paraId="586570A2">
      <w:pPr>
        <w:shd w:val="clear" w:color="auto" w:fill="auto"/>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"http://ccgp-shaanxi.gov.cn/zcdservice/upload/imgs/202106021104_1622603094510_9277.png"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752465" cy="2136775"/>
            <wp:effectExtent l="0" t="0" r="8255" b="12065"/>
            <wp:docPr id="15" name="图片 22" descr="202106021104_1622603094510_9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2" descr="202106021104_1622603094510_9277"/>
                    <pic:cNvPicPr>
                      <a:picLocks noChangeAspect="1"/>
                    </pic:cNvPicPr>
                  </pic:nvPicPr>
                  <pic:blipFill>
                    <a:blip r:embed="rId12"/>
                    <a:stretch>
                      <a:fillRect/>
                    </a:stretch>
                  </pic:blipFill>
                  <pic:spPr>
                    <a:xfrm>
                      <a:off x="0" y="0"/>
                      <a:ext cx="5752465" cy="213677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1821D4C5">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4、查看申请审批进度</w:t>
      </w:r>
    </w:p>
    <w:p w14:paraId="2F57C6F9">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提交融资意向后，银行对申请的审批进度会在“我的贷款-申请进度”中显示，如有审批进度更新，会在相关节点有消息提示，可按消息提示的内容进行相关操作：</w:t>
      </w:r>
    </w:p>
    <w:p w14:paraId="256FAC22">
      <w:pPr>
        <w:shd w:val="clear" w:color="auto" w:fill="auto"/>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"http://ccgp-shaanxi.gov.cn/zcdservice/upload/imgs/202106021104_1622603094615_3235.png"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763260" cy="3044825"/>
            <wp:effectExtent l="0" t="0" r="12700" b="3175"/>
            <wp:docPr id="25" name="图片 23" descr="202106021104_1622603094615_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3" descr="202106021104_1622603094615_3235"/>
                    <pic:cNvPicPr>
                      <a:picLocks noChangeAspect="1"/>
                    </pic:cNvPicPr>
                  </pic:nvPicPr>
                  <pic:blipFill>
                    <a:blip r:embed="rId13"/>
                    <a:stretch>
                      <a:fillRect/>
                    </a:stretch>
                  </pic:blipFill>
                  <pic:spPr>
                    <a:xfrm>
                      <a:off x="0" y="0"/>
                      <a:ext cx="5763260" cy="304482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540CA2C9">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当申请被银行拒绝或其他原因终止时，企业可以重新发起申请。</w:t>
      </w:r>
    </w:p>
    <w:p w14:paraId="75C18DEC">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5、查看贷款还款进度</w:t>
      </w:r>
    </w:p>
    <w:p w14:paraId="50B79BC1">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企业与银行签订贷款合同后，可在“我的贷款-贷款合同”中查看该笔贷款的还款执行进度:</w:t>
      </w:r>
    </w:p>
    <w:p w14:paraId="3AF6DD81">
      <w:pPr>
        <w:shd w:val="clear" w:color="auto" w:fill="auto"/>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"http://ccgp-shaanxi.gov.cn/zcdservice/upload/imgs/202106021106_1622603183467_1781.png"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621655" cy="2887980"/>
            <wp:effectExtent l="0" t="0" r="1905" b="7620"/>
            <wp:docPr id="16" name="图片 24" descr="202106021106_1622603183467_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4" descr="202106021106_1622603183467_1781"/>
                    <pic:cNvPicPr>
                      <a:picLocks noChangeAspect="1"/>
                    </pic:cNvPicPr>
                  </pic:nvPicPr>
                  <pic:blipFill>
                    <a:blip r:embed="rId14"/>
                    <a:stretch>
                      <a:fillRect/>
                    </a:stretch>
                  </pic:blipFill>
                  <pic:spPr>
                    <a:xfrm>
                      <a:off x="0" y="0"/>
                      <a:ext cx="5621655" cy="2887980"/>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058DAEB0">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6、查看融资服务及产品详情</w:t>
      </w:r>
    </w:p>
    <w:p w14:paraId="382428AF">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6.1查看融资服务产品列表</w:t>
      </w:r>
    </w:p>
    <w:p w14:paraId="157078C6">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所有人都可通过该模块了解产品的基本情况，并且选择筛选条件查看最适合的融资产品：</w:t>
      </w:r>
    </w:p>
    <w:p w14:paraId="5E2662CF">
      <w:pPr>
        <w:shd w:val="clear" w:color="auto" w:fill="auto"/>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"http://ccgp-shaanxi.gov.cn/zcdservice/upload/imgs/202106021111_1622603506626_7977.png"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436235" cy="3693795"/>
            <wp:effectExtent l="0" t="0" r="4445" b="9525"/>
            <wp:docPr id="18" name="图片 25" descr="202106021111_1622603506626_7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5" descr="202106021111_1622603506626_7977"/>
                    <pic:cNvPicPr>
                      <a:picLocks noChangeAspect="1"/>
                    </pic:cNvPicPr>
                  </pic:nvPicPr>
                  <pic:blipFill>
                    <a:blip r:embed="rId15"/>
                    <a:stretch>
                      <a:fillRect/>
                    </a:stretch>
                  </pic:blipFill>
                  <pic:spPr>
                    <a:xfrm>
                      <a:off x="0" y="0"/>
                      <a:ext cx="5436235" cy="369379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4B4FA231">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6.2查看融资产品详情</w:t>
      </w:r>
    </w:p>
    <w:p w14:paraId="26BD5239">
      <w:pPr>
        <w:widowControl/>
        <w:shd w:val="clear" w:color="auto" w:fill="auto"/>
        <w:spacing w:before="0" w:beforeAutospacing="0" w:after="0" w:afterAutospacing="0" w:line="360" w:lineRule="auto"/>
        <w:ind w:firstLine="499"/>
        <w:jc w:val="left"/>
        <w:rPr>
          <w:rFonts w:ascii="仿宋" w:hAnsi="仿宋" w:eastAsia="仿宋" w:cs="仿宋_GB2312"/>
          <w:color w:val="auto"/>
          <w:kern w:val="0"/>
          <w:sz w:val="24"/>
          <w:szCs w:val="24"/>
          <w:highlight w:val="none"/>
          <w:shd w:val="clear" w:color="auto" w:fill="FFFFFF"/>
          <w:lang w:val="en-US" w:eastAsia="zh-CN" w:bidi="ar-SA"/>
        </w:rPr>
      </w:pPr>
      <w:r>
        <w:rPr>
          <w:rFonts w:ascii="仿宋" w:hAnsi="仿宋" w:eastAsia="仿宋" w:cs="仿宋_GB2312"/>
          <w:color w:val="auto"/>
          <w:kern w:val="0"/>
          <w:sz w:val="24"/>
          <w:szCs w:val="24"/>
          <w:highlight w:val="none"/>
          <w:shd w:val="clear" w:color="auto" w:fill="FFFFFF"/>
          <w:lang w:val="en-US" w:eastAsia="zh-CN" w:bidi="ar-SA"/>
        </w:rPr>
        <w:t>点击贷款超市的产品图片，可查看该产品的详情：</w:t>
      </w:r>
    </w:p>
    <w:p w14:paraId="5BBFAC8B">
      <w:pPr>
        <w:shd w:val="clear" w:color="auto" w:fill="auto"/>
        <w:jc w:val="center"/>
        <w:rPr>
          <w:rFonts w:ascii="仿宋" w:hAnsi="仿宋" w:eastAsia="仿宋" w:cs="Segoe UI"/>
          <w:color w:val="auto"/>
          <w:sz w:val="25"/>
          <w:szCs w:val="25"/>
          <w:highlight w:val="none"/>
        </w:rPr>
      </w:pPr>
      <w:r>
        <w:rPr>
          <w:rFonts w:ascii="仿宋" w:hAnsi="仿宋" w:eastAsia="仿宋" w:cs="Segoe UI"/>
          <w:color w:val="auto"/>
          <w:sz w:val="25"/>
          <w:szCs w:val="25"/>
          <w:highlight w:val="none"/>
        </w:rPr>
        <w:fldChar w:fldCharType="begin"/>
      </w:r>
      <w:r>
        <w:rPr>
          <w:rFonts w:ascii="仿宋" w:hAnsi="仿宋" w:eastAsia="仿宋" w:cs="Segoe UI"/>
          <w:color w:val="auto"/>
          <w:sz w:val="25"/>
          <w:szCs w:val="25"/>
          <w:highlight w:val="none"/>
        </w:rPr>
        <w:instrText xml:space="preserve"> INCLUDEPICTURE "http://ccgp-shaanxi.gov.cn/zcdservice/upload/imgs/202106021111_1622603506867_8137.png" \* MERGEFORMATINET </w:instrText>
      </w:r>
      <w:r>
        <w:rPr>
          <w:rFonts w:ascii="仿宋" w:hAnsi="仿宋" w:eastAsia="仿宋" w:cs="Segoe UI"/>
          <w:color w:val="auto"/>
          <w:sz w:val="25"/>
          <w:szCs w:val="25"/>
          <w:highlight w:val="none"/>
        </w:rPr>
        <w:fldChar w:fldCharType="separate"/>
      </w:r>
      <w:r>
        <w:rPr>
          <w:rFonts w:ascii="仿宋" w:hAnsi="仿宋" w:eastAsia="仿宋" w:cs="Segoe UI"/>
          <w:color w:val="auto"/>
          <w:sz w:val="25"/>
          <w:szCs w:val="25"/>
          <w:highlight w:val="none"/>
        </w:rPr>
        <w:drawing>
          <wp:inline distT="0" distB="0" distL="114300" distR="114300">
            <wp:extent cx="5339080" cy="5567045"/>
            <wp:effectExtent l="0" t="0" r="10160" b="10795"/>
            <wp:docPr id="24" name="图片 26" descr="202106021111_1622603506867_8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6" descr="202106021111_1622603506867_8137"/>
                    <pic:cNvPicPr>
                      <a:picLocks noChangeAspect="1"/>
                    </pic:cNvPicPr>
                  </pic:nvPicPr>
                  <pic:blipFill>
                    <a:blip r:embed="rId16"/>
                    <a:stretch>
                      <a:fillRect/>
                    </a:stretch>
                  </pic:blipFill>
                  <pic:spPr>
                    <a:xfrm>
                      <a:off x="0" y="0"/>
                      <a:ext cx="5339080" cy="5567045"/>
                    </a:xfrm>
                    <a:prstGeom prst="rect">
                      <a:avLst/>
                    </a:prstGeom>
                    <a:noFill/>
                    <a:ln>
                      <a:noFill/>
                    </a:ln>
                  </pic:spPr>
                </pic:pic>
              </a:graphicData>
            </a:graphic>
          </wp:inline>
        </w:drawing>
      </w:r>
      <w:r>
        <w:rPr>
          <w:rFonts w:ascii="仿宋" w:hAnsi="仿宋" w:eastAsia="仿宋" w:cs="Segoe UI"/>
          <w:color w:val="auto"/>
          <w:sz w:val="25"/>
          <w:szCs w:val="25"/>
          <w:highlight w:val="none"/>
        </w:rPr>
        <w:fldChar w:fldCharType="end"/>
      </w:r>
    </w:p>
    <w:p w14:paraId="4A2516A4">
      <w:pPr>
        <w:shd w:val="clear" w:color="auto" w:fill="auto"/>
        <w:rPr>
          <w:rFonts w:hint="eastAsia" w:ascii="仿宋" w:hAnsi="仿宋" w:eastAsia="仿宋" w:cs="仿宋_GB2312"/>
          <w:color w:val="auto"/>
          <w:kern w:val="0"/>
          <w:sz w:val="24"/>
          <w:szCs w:val="20"/>
          <w:highlight w:val="none"/>
          <w:shd w:val="clear" w:color="auto" w:fill="FFFFFF"/>
        </w:rPr>
      </w:pPr>
      <w:r>
        <w:rPr>
          <w:rFonts w:ascii="仿宋" w:hAnsi="仿宋" w:eastAsia="仿宋" w:cs="仿宋_GB2312"/>
          <w:color w:val="auto"/>
          <w:kern w:val="0"/>
          <w:sz w:val="24"/>
          <w:szCs w:val="24"/>
          <w:highlight w:val="none"/>
          <w:shd w:val="clear" w:color="auto" w:fill="FFFFFF"/>
        </w:rPr>
        <w:t>在登录状态下点击我要申请贷款可跳转到查看可融资项目页面。</w:t>
      </w:r>
    </w:p>
    <w:p w14:paraId="0EE5289A"/>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 w:name="Segoe UI">
    <w:panose1 w:val="020B0502040204020203"/>
    <w:charset w:val="00"/>
    <w:family w:val="swiss"/>
    <w:pitch w:val="default"/>
    <w:sig w:usb0="E4002EFF" w:usb1="C000E47F"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4"/>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4140232"/>
    <w:rsid w:val="3414023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3">
    <w:name w:val="Default Paragraph Font"/>
    <w:semiHidden/>
    <w:uiPriority w:val="0"/>
  </w:style>
  <w:style w:type="table" w:default="1" w:styleId="2">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11</Pages>
  <Words>0</Words>
  <Characters>0</Characters>
  <Lines>0</Lines>
  <Paragraphs>0</Paragraphs>
  <TotalTime>0</TotalTime>
  <ScaleCrop>false</ScaleCrop>
  <LinksUpToDate>false</LinksUpToDate>
  <CharactersWithSpaces>0</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2026-01-09T03:00:00Z</dcterms:created>
  <dc:creator>pencil。</dc:creator>
  <cp:lastModifiedBy>pencil。</cp:lastModifiedBy>
  <dcterms:modified xsi:type="dcterms:W3CDTF">2026-01-09T03:01:16Z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E31351F81DC54E88B2142C93F772D56B_11</vt:lpwstr>
  </property>
  <property fmtid="{D5CDD505-2E9C-101B-9397-08002B2CF9AE}" pid="4" name="KSOTemplateDocerSaveRecord">
    <vt:lpwstr>eyJoZGlkIjoiNWJlMTZkNzkxYTk2ZWMzMDUxYmFlZDhhYTA3N2E0OTEiLCJ1c2VySWQiOiI3NTg1MTk3MDIifQ==</vt:lpwstr>
  </property>
</Properties>
</file>