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版本号：CGZC-2026-010（HSGJ2026-102）20260227002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浐灞国际港三座隧道变形监测等服务项目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CGZC-2026-010（HSGJ2026-102）</w:t>
      </w:r>
      <w:r>
        <w:br/>
      </w:r>
      <w:r>
        <w:br/>
      </w:r>
      <w:r>
        <w:br/>
      </w:r>
    </w:p>
    <w:p>
      <w:pPr>
        <w:pStyle w:val="null3"/>
        <w:jc w:val="center"/>
        <w:outlineLvl w:val="2"/>
      </w:pPr>
      <w:r>
        <w:rPr>
          <w:rFonts w:ascii="仿宋_GB2312" w:hAnsi="仿宋_GB2312" w:cs="仿宋_GB2312" w:eastAsia="仿宋_GB2312"/>
          <w:sz w:val="28"/>
          <w:b/>
        </w:rPr>
        <w:t>西安浐灞国际港住房和城乡建设局</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西安浐灞国际港住房和城乡建设局</w:t>
      </w:r>
      <w:r>
        <w:rPr>
          <w:rFonts w:ascii="仿宋_GB2312" w:hAnsi="仿宋_GB2312" w:cs="仿宋_GB2312" w:eastAsia="仿宋_GB2312"/>
        </w:rPr>
        <w:t>委托，拟对</w:t>
      </w:r>
      <w:r>
        <w:rPr>
          <w:rFonts w:ascii="仿宋_GB2312" w:hAnsi="仿宋_GB2312" w:cs="仿宋_GB2312" w:eastAsia="仿宋_GB2312"/>
        </w:rPr>
        <w:t>浐灞国际港三座隧道变形监测等服务项目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CGZC-2026-010（HSGJ2026-102）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浐灞国际港三座隧道变形监测等服务项目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浐灞国际港三座隧道变形监测等服务项目，具体内容详见第三章。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2、基本资格条件：符合《中华人民共和国政府采购法》第二十二条的规定提供承诺函；</w:t>
      </w:r>
    </w:p>
    <w:p>
      <w:pPr>
        <w:pStyle w:val="null3"/>
      </w:pPr>
      <w:r>
        <w:rPr>
          <w:rFonts w:ascii="仿宋_GB2312" w:hAnsi="仿宋_GB2312" w:cs="仿宋_GB2312" w:eastAsia="仿宋_GB2312"/>
        </w:rPr>
        <w:t>3、法定代表人委托授权书\身份证明：供应商应授权合法的人员参加磋商全过程，其中法定代表人直接参加磋商的，须出具法定代表人身份证明书，并与营业执照上信息一致。法定代表人授权代表参加磋商的，须出具法定代表人授权书及授权代表身份证复印件；（其他组织或自然人参照执行）</w:t>
      </w:r>
    </w:p>
    <w:p>
      <w:pPr>
        <w:pStyle w:val="null3"/>
      </w:pPr>
      <w:r>
        <w:rPr>
          <w:rFonts w:ascii="仿宋_GB2312" w:hAnsi="仿宋_GB2312" w:cs="仿宋_GB2312" w:eastAsia="仿宋_GB2312"/>
        </w:rPr>
        <w:t>4、企业资质：供应商须具备测绘甲级资质（专业范围包含工程测量）；</w:t>
      </w:r>
    </w:p>
    <w:p>
      <w:pPr>
        <w:pStyle w:val="null3"/>
      </w:pPr>
      <w:r>
        <w:rPr>
          <w:rFonts w:ascii="仿宋_GB2312" w:hAnsi="仿宋_GB2312" w:cs="仿宋_GB2312" w:eastAsia="仿宋_GB2312"/>
        </w:rPr>
        <w:t>5、项目负责人资格要求：供应商项目负责人须具有相关测绘类专业中级及以上（含中级）职称；</w:t>
      </w:r>
    </w:p>
    <w:p>
      <w:pPr>
        <w:pStyle w:val="null3"/>
      </w:pPr>
      <w:r>
        <w:rPr>
          <w:rFonts w:ascii="仿宋_GB2312" w:hAnsi="仿宋_GB2312" w:cs="仿宋_GB2312" w:eastAsia="仿宋_GB2312"/>
        </w:rPr>
        <w:t>6、关联关系：单位负责人为同一人或者存在直接控股、管理关系的不同供应商，不得参加同一合同项下的政府采购活动。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西安浐灞国际港住房和城乡建设局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西安市浐灞国际港港务大道6号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029-83591930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曹美奇、杨阳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029-81779899转8013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侯老师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采购包1：361,000.00元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代理服务费收费标准：按照国家计委颁布的《招标代理服务收费管理暂行办法》（计价格『2002』1980号）及发改办价格『2003』857号文规定按服务类收取代理服务费。 银行户名：华晟国际项目管理有限公司 开户银行：建设银行西安劳动路支行 账 号：610501 740015 00000 427 转账事由：CGZC-2026-010（HSGJ2026-102）项目代理服务费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西安浐灞国际港住房和城乡建设局</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西安浐灞国际港住房和城乡建设局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西安浐灞国际港住房和城乡建设局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联系人：曹美奇、杨阳</w:t>
      </w:r>
    </w:p>
    <w:p>
      <w:pPr>
        <w:pStyle w:val="null3"/>
      </w:pPr>
      <w:r>
        <w:rPr>
          <w:rFonts w:ascii="仿宋_GB2312" w:hAnsi="仿宋_GB2312" w:cs="仿宋_GB2312" w:eastAsia="仿宋_GB2312"/>
        </w:rPr>
        <w:t>联系电话：029-81779899转8013</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color w:val="000000"/>
        </w:rPr>
        <w:t>奥体隧道：呈东西走向，线路西起广运潭大道，向东下穿灞河后止于柳林路，是浐灞国际港辖区主干道。线路设计全长</w:t>
      </w:r>
      <w:r>
        <w:rPr>
          <w:rFonts w:ascii="仿宋_GB2312" w:hAnsi="仿宋_GB2312" w:cs="仿宋_GB2312" w:eastAsia="仿宋_GB2312"/>
          <w:sz w:val="21"/>
          <w:color w:val="000000"/>
        </w:rPr>
        <w:t>1.657km，其中路基段长度为0.223km，敞口段长度为0.439km,隧道段长度为1.155km。</w:t>
      </w:r>
    </w:p>
    <w:p>
      <w:pPr>
        <w:pStyle w:val="null3"/>
        <w:ind w:firstLine="420"/>
        <w:jc w:val="left"/>
      </w:pPr>
      <w:r>
        <w:rPr>
          <w:rFonts w:ascii="仿宋_GB2312" w:hAnsi="仿宋_GB2312" w:cs="仿宋_GB2312" w:eastAsia="仿宋_GB2312"/>
          <w:sz w:val="21"/>
          <w:color w:val="000000"/>
        </w:rPr>
        <w:t>全运路隧道：南起广场南路北侧，经过规划一路、向东路、地铁</w:t>
      </w:r>
      <w:r>
        <w:rPr>
          <w:rFonts w:ascii="仿宋_GB2312" w:hAnsi="仿宋_GB2312" w:cs="仿宋_GB2312" w:eastAsia="仿宋_GB2312"/>
          <w:sz w:val="21"/>
          <w:color w:val="000000"/>
        </w:rPr>
        <w:t>14号线、西安奥体中心项目一场两馆、柳新路、规划二路、规划三路至潘骞路南侧。隧道段采用双向六车道。隧道起点桩号K0+480，暗埋段起点桩号K0+772，暗埋段终点桩号K1+736，隧道终点桩号K1+945；敞开段长501米，暗埋段长964米，隧道全长1465米。</w:t>
      </w:r>
    </w:p>
    <w:p>
      <w:pPr>
        <w:pStyle w:val="null3"/>
        <w:ind w:firstLine="420"/>
        <w:jc w:val="left"/>
      </w:pPr>
      <w:r>
        <w:rPr>
          <w:rFonts w:ascii="仿宋_GB2312" w:hAnsi="仿宋_GB2312" w:cs="仿宋_GB2312" w:eastAsia="仿宋_GB2312"/>
          <w:sz w:val="21"/>
          <w:color w:val="000000"/>
        </w:rPr>
        <w:t>浐灞隧道：西起灞河西岸的广运潭大道，东至灞河东岸的香槐六路，主线设计总长度</w:t>
      </w:r>
      <w:r>
        <w:rPr>
          <w:rFonts w:ascii="仿宋_GB2312" w:hAnsi="仿宋_GB2312" w:cs="仿宋_GB2312" w:eastAsia="仿宋_GB2312"/>
          <w:sz w:val="21"/>
          <w:color w:val="000000"/>
        </w:rPr>
        <w:t>2896.618m，其中地下隧道（含管廊和疏散通道）长度1458米，桥梁长度663.03米，敞开段长度766.567米。道路主线分别下穿兴泰北路、灞河西路、灞河东路、华文路后上跨世博大道和香槐六路，主线跨越香槐六路后与港务区段相接。设计主线（隧道）仅供机动车通过，双向六车道，并在过河段设置紧急逃生通道及管线过河综合管廊。</w:t>
      </w:r>
    </w:p>
    <w:p>
      <w:pPr>
        <w:pStyle w:val="null3"/>
        <w:ind w:firstLine="420"/>
        <w:jc w:val="left"/>
      </w:pPr>
      <w:r>
        <w:rPr>
          <w:rFonts w:ascii="仿宋_GB2312" w:hAnsi="仿宋_GB2312" w:cs="仿宋_GB2312" w:eastAsia="仿宋_GB2312"/>
          <w:sz w:val="21"/>
          <w:color w:val="000000"/>
        </w:rPr>
        <w:t>白雀路：白雀路位于雁鸣湖产业园连接南三环与南绕城北辅道重要道路，该道路路基结构为高填方路基，填方高度约</w:t>
      </w:r>
      <w:r>
        <w:rPr>
          <w:rFonts w:ascii="仿宋_GB2312" w:hAnsi="仿宋_GB2312" w:cs="仿宋_GB2312" w:eastAsia="仿宋_GB2312"/>
          <w:sz w:val="21"/>
          <w:color w:val="000000"/>
        </w:rPr>
        <w:t>22米。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361,000.00</w:t>
      </w:r>
    </w:p>
    <w:p>
      <w:pPr>
        <w:pStyle w:val="null3"/>
      </w:pPr>
      <w:r>
        <w:rPr>
          <w:rFonts w:ascii="仿宋_GB2312" w:hAnsi="仿宋_GB2312" w:cs="仿宋_GB2312" w:eastAsia="仿宋_GB2312"/>
        </w:rPr>
        <w:t>采购包最高限价（元）: 361,000.00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浐灞国际港三座隧道变形监测等服务项目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361,000.00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标的名称：浐灞国际港三座隧道变形监测等服务项目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项目概况</w:t>
            </w:r>
          </w:p>
          <w:p>
            <w:pPr>
              <w:pStyle w:val="null3"/>
              <w:ind w:firstLine="495"/>
              <w:jc w:val="left"/>
            </w:pPr>
            <w:r>
              <w:rPr>
                <w:rFonts w:ascii="仿宋_GB2312" w:hAnsi="仿宋_GB2312" w:cs="仿宋_GB2312" w:eastAsia="仿宋_GB2312"/>
                <w:sz w:val="21"/>
                <w:color w:val="000000"/>
              </w:rPr>
              <w:t>奥体隧道：呈东西走向，线路西起广运潭大道，向东下穿灞河后止于柳林路，是浐灞国际港辖区主干道。线路设计全长</w:t>
            </w:r>
            <w:r>
              <w:rPr>
                <w:rFonts w:ascii="仿宋_GB2312" w:hAnsi="仿宋_GB2312" w:cs="仿宋_GB2312" w:eastAsia="仿宋_GB2312"/>
                <w:sz w:val="21"/>
                <w:color w:val="000000"/>
              </w:rPr>
              <w:t>1.657km，其中路基段长度为0.223km，敞口段长度为0.439km,隧道段长度为1.155km。</w:t>
            </w:r>
          </w:p>
          <w:p>
            <w:pPr>
              <w:pStyle w:val="null3"/>
              <w:ind w:firstLine="495"/>
              <w:jc w:val="left"/>
            </w:pPr>
            <w:r>
              <w:rPr>
                <w:rFonts w:ascii="仿宋_GB2312" w:hAnsi="仿宋_GB2312" w:cs="仿宋_GB2312" w:eastAsia="仿宋_GB2312"/>
                <w:sz w:val="21"/>
                <w:color w:val="000000"/>
              </w:rPr>
              <w:t>全运路隧道：南起广场南路北侧，经过规划一路、向东路、地铁</w:t>
            </w:r>
            <w:r>
              <w:rPr>
                <w:rFonts w:ascii="仿宋_GB2312" w:hAnsi="仿宋_GB2312" w:cs="仿宋_GB2312" w:eastAsia="仿宋_GB2312"/>
                <w:sz w:val="21"/>
                <w:color w:val="000000"/>
              </w:rPr>
              <w:t>14号线、西安奥体中心项目一场两馆、柳新路、规划二路、规划三路至潘骞路南侧。隧道段采用双向六车道。隧道起点桩号K0+480，暗埋段起点桩号K0+772，暗埋段终点桩号K1+736，隧道终点桩号K1+945；敞开段长501米，暗埋段长964米，隧道全长1465米。</w:t>
            </w:r>
          </w:p>
          <w:p>
            <w:pPr>
              <w:pStyle w:val="null3"/>
              <w:ind w:firstLine="495"/>
              <w:jc w:val="left"/>
            </w:pPr>
            <w:r>
              <w:rPr>
                <w:rFonts w:ascii="仿宋_GB2312" w:hAnsi="仿宋_GB2312" w:cs="仿宋_GB2312" w:eastAsia="仿宋_GB2312"/>
                <w:sz w:val="21"/>
                <w:color w:val="000000"/>
              </w:rPr>
              <w:t>浐灞隧道：西起灞河西岸的广运潭大道，东至灞河东岸的香槐六路，主线设计总长度</w:t>
            </w:r>
            <w:r>
              <w:rPr>
                <w:rFonts w:ascii="仿宋_GB2312" w:hAnsi="仿宋_GB2312" w:cs="仿宋_GB2312" w:eastAsia="仿宋_GB2312"/>
                <w:sz w:val="21"/>
                <w:color w:val="000000"/>
              </w:rPr>
              <w:t>2896.618m，其中地下隧道（含管廊和疏散通道）长度1458米，桥梁长度663.03米，敞开段长度766.567米。道路主线分别下穿兴泰北路、灞河西路、灞河东路、华文路后上跨世博大道和香槐六路，主线跨越香槐六路后与港务区段相接。设计主线（隧道）仅供机动车通过，双向六车道，并在过河段设置紧急逃生通道及管线过河综合管廊。</w:t>
            </w:r>
          </w:p>
          <w:p>
            <w:pPr>
              <w:pStyle w:val="null3"/>
              <w:ind w:firstLine="495"/>
              <w:jc w:val="left"/>
            </w:pPr>
            <w:r>
              <w:rPr>
                <w:rFonts w:ascii="仿宋_GB2312" w:hAnsi="仿宋_GB2312" w:cs="仿宋_GB2312" w:eastAsia="仿宋_GB2312"/>
                <w:sz w:val="21"/>
                <w:color w:val="000000"/>
              </w:rPr>
              <w:t>白雀路：白雀路位于雁鸣湖产业园连接南三环与南绕城北辅道重要道路，该道路路基结构为高填方路基，填方高度约</w:t>
            </w:r>
            <w:r>
              <w:rPr>
                <w:rFonts w:ascii="仿宋_GB2312" w:hAnsi="仿宋_GB2312" w:cs="仿宋_GB2312" w:eastAsia="仿宋_GB2312"/>
                <w:sz w:val="21"/>
                <w:color w:val="000000"/>
              </w:rPr>
              <w:t>22米。</w:t>
            </w:r>
          </w:p>
          <w:p>
            <w:pPr>
              <w:pStyle w:val="null3"/>
              <w:ind w:firstLine="482"/>
              <w:jc w:val="both"/>
            </w:pPr>
            <w:r>
              <w:rPr>
                <w:rFonts w:ascii="仿宋_GB2312" w:hAnsi="仿宋_GB2312" w:cs="仿宋_GB2312" w:eastAsia="仿宋_GB2312"/>
                <w:sz w:val="24"/>
                <w:b/>
                <w:color w:val="000000"/>
              </w:rPr>
              <w:t>二、服务内容（包括工作区域、工作内容等）</w:t>
            </w:r>
          </w:p>
          <w:p>
            <w:pPr>
              <w:pStyle w:val="null3"/>
              <w:ind w:firstLine="495"/>
              <w:jc w:val="left"/>
            </w:pPr>
            <w:r>
              <w:rPr>
                <w:rFonts w:ascii="仿宋_GB2312" w:hAnsi="仿宋_GB2312" w:cs="仿宋_GB2312" w:eastAsia="仿宋_GB2312"/>
                <w:sz w:val="21"/>
                <w:color w:val="000000"/>
              </w:rPr>
              <w:t>三条隧道：浐灞隧道、奥体隧道、全运路隧道全洞段及出入口衔接段的变形监测，具体内容为隧道结构沉降监测、收敛监测、位移监测及数据采集分析、预警处置等。</w:t>
            </w:r>
          </w:p>
          <w:p>
            <w:pPr>
              <w:pStyle w:val="null3"/>
              <w:ind w:firstLine="495"/>
              <w:jc w:val="left"/>
            </w:pPr>
            <w:r>
              <w:rPr>
                <w:rFonts w:ascii="仿宋_GB2312" w:hAnsi="仿宋_GB2312" w:cs="仿宋_GB2312" w:eastAsia="仿宋_GB2312"/>
                <w:sz w:val="21"/>
                <w:color w:val="000000"/>
              </w:rPr>
              <w:t>白雀路：高边坡变形监测的点位布设、数据采集、数据处理与分析、监测报告编制、预警处置及后期技术服务等全流程工作。</w:t>
            </w:r>
          </w:p>
          <w:p>
            <w:pPr>
              <w:pStyle w:val="null3"/>
              <w:ind w:firstLine="482"/>
              <w:jc w:val="both"/>
            </w:pPr>
            <w:r>
              <w:rPr>
                <w:rFonts w:ascii="仿宋_GB2312" w:hAnsi="仿宋_GB2312" w:cs="仿宋_GB2312" w:eastAsia="仿宋_GB2312"/>
                <w:sz w:val="24"/>
                <w:b/>
                <w:color w:val="000000"/>
              </w:rPr>
              <w:t>三、技术要求</w:t>
            </w:r>
          </w:p>
          <w:p>
            <w:pPr>
              <w:pStyle w:val="null3"/>
              <w:ind w:firstLine="422"/>
              <w:jc w:val="left"/>
            </w:pPr>
            <w:r>
              <w:rPr>
                <w:rFonts w:ascii="仿宋_GB2312" w:hAnsi="仿宋_GB2312" w:cs="仿宋_GB2312" w:eastAsia="仿宋_GB2312"/>
                <w:sz w:val="21"/>
                <w:b/>
                <w:color w:val="000000"/>
              </w:rPr>
              <w:t>1.规范依据</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1）《城市隧道养护技术规范》（DB50∕T 1093-2021）；</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2）《城市轨道交通工程监测技术规范》（GB50911-2013）；</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3）《在役公路隧道长期监测技术指南》T/CHTS10021-2020；</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4）《运营公路边 (滑) 坡监测技术规范》（DB61/T 1287-2019）；</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5）《工程测量通用规范》（GB55018-2021）；</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6）《工程测量标准》（GB50026-2020）；</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7）《建筑变形测量规范》(JGJ8-2016)；</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 工程相关设计图纸；</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9） 陕西省及西安市相关规范、规定。</w:t>
            </w:r>
          </w:p>
          <w:p>
            <w:pPr>
              <w:pStyle w:val="null3"/>
              <w:ind w:firstLine="422"/>
              <w:jc w:val="left"/>
            </w:pPr>
            <w:r>
              <w:rPr>
                <w:rFonts w:ascii="仿宋_GB2312" w:hAnsi="仿宋_GB2312" w:cs="仿宋_GB2312" w:eastAsia="仿宋_GB2312"/>
                <w:sz w:val="21"/>
                <w:b/>
                <w:color w:val="000000"/>
              </w:rPr>
              <w:t>2.监测对象及内容</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1）浐灞隧道：竖向位移、水平位移、拱顶沉降、收敛监测、差异沉降及渗水量；</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2）奥体隧道：竖向位移、水平位移、收敛监测及差异沉降；</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3）全运路隧道：竖向位移、差异沉降及收敛监测。</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4）白雀路：边坡水平位移、竖向位移，周边道路竖向位移、土体测斜。</w:t>
            </w:r>
          </w:p>
          <w:p>
            <w:pPr>
              <w:pStyle w:val="null3"/>
              <w:ind w:firstLine="422"/>
              <w:jc w:val="left"/>
            </w:pPr>
            <w:r>
              <w:rPr>
                <w:rFonts w:ascii="仿宋_GB2312" w:hAnsi="仿宋_GB2312" w:cs="仿宋_GB2312" w:eastAsia="仿宋_GB2312"/>
                <w:sz w:val="21"/>
                <w:b/>
                <w:color w:val="000000"/>
              </w:rPr>
              <w:t>3.监测周期及频次</w:t>
            </w:r>
          </w:p>
          <w:p>
            <w:pPr>
              <w:pStyle w:val="null3"/>
              <w:ind w:firstLine="420"/>
              <w:jc w:val="left"/>
            </w:pPr>
            <w:r>
              <w:rPr>
                <w:rFonts w:ascii="仿宋_GB2312" w:hAnsi="仿宋_GB2312" w:cs="仿宋_GB2312" w:eastAsia="仿宋_GB2312"/>
                <w:sz w:val="21"/>
                <w:color w:val="000000"/>
              </w:rPr>
              <w:t>隧道监测周期及频次：监测周期为期</w:t>
            </w:r>
            <w:r>
              <w:rPr>
                <w:rFonts w:ascii="仿宋_GB2312" w:hAnsi="仿宋_GB2312" w:cs="仿宋_GB2312" w:eastAsia="仿宋_GB2312"/>
                <w:sz w:val="21"/>
                <w:color w:val="000000"/>
              </w:rPr>
              <w:t>1年；浐灞隧道监测2次，每半年1次；奥体隧道、全运路隧道各监测5次，每季度1次。</w:t>
            </w:r>
          </w:p>
          <w:p>
            <w:pPr>
              <w:pStyle w:val="null3"/>
              <w:ind w:firstLine="420"/>
              <w:jc w:val="both"/>
            </w:pPr>
            <w:r>
              <w:rPr>
                <w:rFonts w:ascii="仿宋_GB2312" w:hAnsi="仿宋_GB2312" w:cs="仿宋_GB2312" w:eastAsia="仿宋_GB2312"/>
                <w:sz w:val="21"/>
                <w:color w:val="000000"/>
              </w:rPr>
              <w:t>白雀路监测周期及频次：监测周期为期</w:t>
            </w:r>
            <w:r>
              <w:rPr>
                <w:rFonts w:ascii="仿宋_GB2312" w:hAnsi="仿宋_GB2312" w:cs="仿宋_GB2312" w:eastAsia="仿宋_GB2312"/>
                <w:sz w:val="21"/>
                <w:color w:val="000000"/>
              </w:rPr>
              <w:t>6个月，每月观测2次，共13次，若监测期间出现边坡失稳风险或变形加剧，服务期限可按招标人要求顺延</w:t>
            </w:r>
            <w:r>
              <w:rPr>
                <w:rFonts w:ascii="仿宋_GB2312" w:hAnsi="仿宋_GB2312" w:cs="仿宋_GB2312" w:eastAsia="仿宋_GB2312"/>
                <w:sz w:val="21"/>
                <w:color w:val="000000"/>
              </w:rPr>
              <w:t>。</w:t>
            </w:r>
          </w:p>
          <w:p>
            <w:pPr>
              <w:pStyle w:val="null3"/>
              <w:ind w:firstLine="482"/>
              <w:jc w:val="both"/>
            </w:pPr>
            <w:r>
              <w:rPr>
                <w:rFonts w:ascii="仿宋_GB2312" w:hAnsi="仿宋_GB2312" w:cs="仿宋_GB2312" w:eastAsia="仿宋_GB2312"/>
                <w:sz w:val="24"/>
                <w:b/>
                <w:color w:val="000000"/>
              </w:rPr>
              <w:t>四、服务要求</w:t>
            </w:r>
          </w:p>
          <w:p>
            <w:pPr>
              <w:pStyle w:val="null3"/>
              <w:ind w:firstLine="420"/>
              <w:jc w:val="left"/>
            </w:pPr>
            <w:r>
              <w:rPr>
                <w:rFonts w:ascii="仿宋_GB2312" w:hAnsi="仿宋_GB2312" w:cs="仿宋_GB2312" w:eastAsia="仿宋_GB2312"/>
                <w:sz w:val="21"/>
                <w:color w:val="000000"/>
              </w:rPr>
              <w:t>按要求做好监测工作，及时进行成果反馈，服务要求如下：</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1）监测点布设：按要求埋设变形监测点，确保覆盖变形风险区域，能够准确反应监测对象变形情况。</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2）数据采集：使用全站仪、水准仪、激光测距仪等监测设备，定期进行观测，确保监测设备能够满足监测精度要求。</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3）人员投入：确保项目投入人员能够胜任监测工作需求，具有相关上岗资格。</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4）数据处理：对采集的监测数据进行严密平差，计算出各监测点的变形量、变形速率及累积变形值。</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5）变形分析：分析变形趋势（稳定、缓慢变形、急剧变形），判断是否超出预警阈值，定性结论。</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6）应急响应：若出现异常变形，立即复测验证，建立预警机制，保障运营安全。</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7）监测报告：包含单次监测数据报表、阶段性变形分析报告，明确各监测点的位移现状与趋势。</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8）可视化图表：通过位移-时间曲线图，直观展示变形分布与发展规律。</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9）预警通知：当变形超限时，及时出具书面/电子版预警函，附具体变形数据与应急建议。</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10）总结报告：汇总分析监测数据，评估稳定性，为后续运营维护提供建议。</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11）成果交付要求：最终监测报告书为书面文件4 份，提交时间以项目需求为准。</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12）质量验收标准或规范：现行的国家标准或国家行政部门颁布的法律法规、规章制度、行业标准等</w:t>
            </w:r>
            <w:r>
              <w:rPr>
                <w:rFonts w:ascii="仿宋_GB2312" w:hAnsi="仿宋_GB2312" w:cs="仿宋_GB2312" w:eastAsia="仿宋_GB2312"/>
                <w:sz w:val="21"/>
                <w:color w:val="000000"/>
              </w:rPr>
              <w:t>。</w:t>
            </w:r>
          </w:p>
          <w:p>
            <w:pPr>
              <w:pStyle w:val="null3"/>
              <w:ind w:firstLine="482"/>
              <w:jc w:val="both"/>
            </w:pPr>
            <w:r>
              <w:rPr>
                <w:rFonts w:ascii="仿宋_GB2312" w:hAnsi="仿宋_GB2312" w:cs="仿宋_GB2312" w:eastAsia="仿宋_GB2312"/>
                <w:sz w:val="24"/>
                <w:b/>
                <w:color w:val="000000"/>
              </w:rPr>
              <w:t>五、商务要求</w:t>
            </w:r>
          </w:p>
          <w:p>
            <w:pPr>
              <w:pStyle w:val="null3"/>
              <w:ind w:firstLine="420"/>
              <w:jc w:val="left"/>
            </w:pPr>
            <w:r>
              <w:rPr>
                <w:rFonts w:ascii="仿宋_GB2312" w:hAnsi="仿宋_GB2312" w:cs="仿宋_GB2312" w:eastAsia="仿宋_GB2312"/>
                <w:sz w:val="21"/>
                <w:color w:val="000000"/>
              </w:rPr>
              <w:t>（一）服务期限</w:t>
            </w:r>
          </w:p>
          <w:p>
            <w:pPr>
              <w:pStyle w:val="null3"/>
              <w:ind w:firstLine="420"/>
              <w:jc w:val="left"/>
            </w:pPr>
            <w:r>
              <w:rPr>
                <w:rFonts w:ascii="仿宋_GB2312" w:hAnsi="仿宋_GB2312" w:cs="仿宋_GB2312" w:eastAsia="仿宋_GB2312"/>
                <w:sz w:val="21"/>
                <w:color w:val="000000"/>
              </w:rPr>
              <w:t>隧道监测周期及频次：监测周期为期</w:t>
            </w:r>
            <w:r>
              <w:rPr>
                <w:rFonts w:ascii="仿宋_GB2312" w:hAnsi="仿宋_GB2312" w:cs="仿宋_GB2312" w:eastAsia="仿宋_GB2312"/>
                <w:sz w:val="21"/>
                <w:color w:val="000000"/>
              </w:rPr>
              <w:t>1年；浐灞隧道监测2次，每半年1次；奥体隧道、全运路隧道各监测5次，每季度1次。</w:t>
            </w:r>
          </w:p>
          <w:p>
            <w:pPr>
              <w:pStyle w:val="null3"/>
              <w:ind w:firstLine="420"/>
              <w:jc w:val="left"/>
            </w:pPr>
            <w:r>
              <w:rPr>
                <w:rFonts w:ascii="仿宋_GB2312" w:hAnsi="仿宋_GB2312" w:cs="仿宋_GB2312" w:eastAsia="仿宋_GB2312"/>
                <w:sz w:val="21"/>
                <w:color w:val="000000"/>
              </w:rPr>
              <w:t>白雀路监测周期及频次：监测周期为期</w:t>
            </w:r>
            <w:r>
              <w:rPr>
                <w:rFonts w:ascii="仿宋_GB2312" w:hAnsi="仿宋_GB2312" w:cs="仿宋_GB2312" w:eastAsia="仿宋_GB2312"/>
                <w:sz w:val="21"/>
                <w:color w:val="000000"/>
              </w:rPr>
              <w:t>6个月，每月观测2次，共13次，若监测期间出现边坡失稳风险或变形加剧，服务期限可按招标人要求顺延。</w:t>
            </w:r>
          </w:p>
          <w:p>
            <w:pPr>
              <w:pStyle w:val="null3"/>
              <w:ind w:firstLine="420"/>
              <w:jc w:val="left"/>
            </w:pPr>
            <w:r>
              <w:rPr>
                <w:rFonts w:ascii="仿宋_GB2312" w:hAnsi="仿宋_GB2312" w:cs="仿宋_GB2312" w:eastAsia="仿宋_GB2312"/>
                <w:sz w:val="21"/>
                <w:color w:val="000000"/>
              </w:rPr>
              <w:t>（二）款项结算</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）乙方进场开展监测工作满六个月，提供阶段监测报告，甲方向乙方支付本项目监测费用的</w:t>
            </w:r>
            <w:r>
              <w:rPr>
                <w:rFonts w:ascii="仿宋_GB2312" w:hAnsi="仿宋_GB2312" w:cs="仿宋_GB2312" w:eastAsia="仿宋_GB2312"/>
                <w:sz w:val="21"/>
                <w:color w:val="000000"/>
              </w:rPr>
              <w:t>30%；</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）本项目所有监测工作全部完成，乙方向甲方提交监测技术报告书后，甲方向乙方付清剩余监测费用；</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）每次付款前，乙方应向甲方开具足额有效的增值税发票，甲方应在发票签收后十个工作日内向乙方付款。</w:t>
            </w:r>
          </w:p>
          <w:p>
            <w:pPr>
              <w:pStyle w:val="null3"/>
              <w:ind w:firstLine="482"/>
              <w:jc w:val="left"/>
            </w:pPr>
            <w:r>
              <w:rPr>
                <w:rFonts w:ascii="仿宋_GB2312" w:hAnsi="仿宋_GB2312" w:cs="仿宋_GB2312" w:eastAsia="仿宋_GB2312"/>
                <w:sz w:val="24"/>
                <w:b/>
                <w:color w:val="000000"/>
              </w:rPr>
              <w:t>六、其他</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1）拟投入本项目的监测人员需具备相应的专业资格证书和监测工作经验，核心监测人员不少于5人</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2）本次招标不接受联合体投标；不允许转包或违法分包本项目。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隧道监测周期及频次：监测周期为期1年；浐灞隧道监测2次，每半年1次；奥体隧道、全运路隧道各监测5次，每季度1次。 白雀路监测周期及频次：监测周期为期6个月，每月观测2次，共13次，若监测期间出现边坡失稳风险或变形加剧，服务期限可按招标人要求顺延。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现行的国家标准或国家行政部门颁布的法律法规、规章制度、行业标准等。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每次付款前，乙方应向甲方开具足额有效的增值税发票。乙方进场开展监测工作满六个月，提供阶段监测报告</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每次付款前，乙方应向甲方开具足额有效的增值税发票。本项目所有监测工作全部完成，乙方向甲方提交监测技术报告书后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1．由于乙方原因造成测量成果资料质量不合格，不能满足技术要求时，其返工测量费用由乙方承担。 2．由于甲方未能及时支付工程款，导致乙方停工或其他不良影响的，责任不在乙方而在甲方。</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服务标准：符合国家及行业有关现行规范、标准的要求。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w:t>
            </w:r>
          </w:p>
        </w:tc>
        <w:tc>
          <w:tcPr>
            <w:tcW w:type="dxa" w:w="3322"/>
          </w:tcPr>
          <w:p>
            <w:pPr>
              <w:pStyle w:val="null3"/>
            </w:pPr>
            <w:r>
              <w:rPr>
                <w:rFonts w:ascii="仿宋_GB2312" w:hAnsi="仿宋_GB2312" w:cs="仿宋_GB2312" w:eastAsia="仿宋_GB2312"/>
              </w:rPr>
              <w:t>符合《中华人民共和国政府采购法》第二十二条的规定提供承诺函；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法定代表人委托授权书\身份证明</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出具法定代表人身份证明书，并与营业执照上信息一致。法定代表人授权代表参加磋商的，须出具法定代表人授权书及授权代表身份证复印件；（其他组织或自然人参照执行）</w:t>
            </w:r>
          </w:p>
        </w:tc>
        <w:tc>
          <w:tcPr>
            <w:tcW w:type="dxa" w:w="1661"/>
          </w:tcPr>
          <w:p>
            <w:pPr>
              <w:pStyle w:val="null3"/>
            </w:pPr>
            <w:r>
              <w:rPr>
                <w:rFonts w:ascii="仿宋_GB2312" w:hAnsi="仿宋_GB2312" w:cs="仿宋_GB2312" w:eastAsia="仿宋_GB2312"/>
              </w:rPr>
              <w:t>法定代表人证明书及法定代表人授权书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供应商须具备测绘甲级资质（专业范围包含工程测量）；</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项目负责人资格要求</w:t>
            </w:r>
          </w:p>
        </w:tc>
        <w:tc>
          <w:tcPr>
            <w:tcW w:type="dxa" w:w="3322"/>
          </w:tcPr>
          <w:p>
            <w:pPr>
              <w:pStyle w:val="null3"/>
            </w:pPr>
            <w:r>
              <w:rPr>
                <w:rFonts w:ascii="仿宋_GB2312" w:hAnsi="仿宋_GB2312" w:cs="仿宋_GB2312" w:eastAsia="仿宋_GB2312"/>
              </w:rPr>
              <w:t>供应商项目负责人须具有相关测绘类专业中级及以上（含中级）职称；</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磋商内容未出现漏项或数量与要求不符，未出现重大负偏差；</w:t>
            </w:r>
          </w:p>
        </w:tc>
        <w:tc>
          <w:tcPr>
            <w:tcW w:type="dxa" w:w="1661"/>
          </w:tcPr>
          <w:p>
            <w:pPr>
              <w:pStyle w:val="null3"/>
            </w:pPr>
            <w:r>
              <w:rPr>
                <w:rFonts w:ascii="仿宋_GB2312" w:hAnsi="仿宋_GB2312" w:cs="仿宋_GB2312" w:eastAsia="仿宋_GB2312"/>
              </w:rPr>
              <w:t>商务偏离表 法定代表人证明书及法定代表人授权书 服务需求响应表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资格证明文件 商务偏离表 磋商响应单位承诺书 分项报价明细 标的清单 报价表 响应函 法定代表人证明书及法定代表人授权书 服务需求响应表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磋商响应文件按有效期达到磋商文件的要求；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中小企业声明函 报价表 法定代表人证明书及法定代表人授权书 服务需求响应表 响应文件封面 磋商响应方案说明 类似项目业绩 资格证明文件 商务偏离表 残疾人福利性单位声明函 磋商响应单位承诺书 分项报价明细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根据供应商对项目的背景、目的、内容与时间要求等的理解程度进行评分。 1.方案全面、合理、规范，可操作性强得6分； 2.方案基本合理，有一定的可操作性得4分； 3.方案有缺漏，可操作性差得2分； 4.未提供方案不得分。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根据供应商提供完善的满足采购需求的实施方案进行评分。 1.方案全面、合理、规范，可操作性强得8分； 2.方案基本合理，有一定的可操作性得6分； 3.方案宽泛，可操作性不强得4分； 4.方案有缺漏，可操作性差得2分；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根据供应商提供完善的工作质量保障措施进行评分。 1.方案全面、合理、规范，可操作性强得8分； 2.方案比较合理和规范，有较强的可操作性得6分； 3.方案基本合理，有一定的可操作性得4分； 4.方案宽泛，可操作性不强得2分； 5.未提供方案不得分。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根据供应商配备专业的仪器设备，从数量、质量及其先进可靠性等方面进行评分。 1.方案全面、合理、规范，可操作性强得8分； 2.方案比较合理和规范，有较强的可操作性得6分； 3.方案基本合理，有一定的可操作性得4分； 4.方案宽泛，可操作性不强得2分； 5.未提供方案不得分。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对本项目重难点的分析，以及相应的规划对策和控制措施进行评分。 1.方案全面、合理、规范，可操作性强得8分； 2.方案比较合理和规范，有较强的可操作性得6分； 3.方案基本合理，有一定的可操作性得4分； 4.方案宽泛，可操作性不强得2分； 5.未提供方案不得分。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根据供应商针对本项目具体情况提出的合理化建议进行评分。内容科学可行，有针对性且内容丰富。 1.方案全面、合理、规范，可操作性强得6分； 2.方案基本合理，有一定的可操作性得4分； 3.方案有缺漏，可操作性差得2分； 4.未提供方案不得分。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根据供应商对本项目的工作进度安排进行评分。 1.方案全面、合理、规范，可操作性强得8分； 2.方案比较合理和规范，有较强的可操作性得6分； 3.方案基本合理，有一定的可操作性得4分； 4.方案宽泛，可操作性不强得2分； 5.未提供方案不得分。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预期成果</w:t>
            </w:r>
          </w:p>
        </w:tc>
        <w:tc>
          <w:tcPr>
            <w:tcW w:type="dxa" w:w="2492"/>
          </w:tcPr>
          <w:p>
            <w:pPr>
              <w:pStyle w:val="null3"/>
            </w:pPr>
            <w:r>
              <w:rPr>
                <w:rFonts w:ascii="仿宋_GB2312" w:hAnsi="仿宋_GB2312" w:cs="仿宋_GB2312" w:eastAsia="仿宋_GB2312"/>
              </w:rPr>
              <w:t>针对预期成果分类是否合理、内容是否齐全、成果描述具体是否详实进行评分。 1.方案全面、合理、规范，可操作性强得6分； 2.方案基本合理，有一定的可操作性得4分； 3.方案有缺漏，可操作性差得2分； 4.未提供方案不得分。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根据供应商对采购人实际需求提供保证服务的承诺进行评分。 1.服务承诺方案全面、合理、规范，可操作性强得6分； 2.服务承诺方案基本合理，有一定的可操作性得4分； 3.服务承诺方案有缺漏，可操作性差得2分； 4.未提供方案不得分。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供应商提供针对本项目实施过程中可能会遇到的突发应急事件，按突发应急预案完整性、全面性、认知深度和专业性进行评审。 1.方案全面、合理、规范，可操作性强得8分； 2.方案基本合理，有一定的可操作性得6分； 3.方案宽泛，可操作性不强得4分； 4.方案有缺漏，可操作性差得2分；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拟投入人员配备方案</w:t>
            </w:r>
          </w:p>
        </w:tc>
        <w:tc>
          <w:tcPr>
            <w:tcW w:type="dxa" w:w="2492"/>
          </w:tcPr>
          <w:p>
            <w:pPr>
              <w:pStyle w:val="null3"/>
            </w:pPr>
            <w:r>
              <w:rPr>
                <w:rFonts w:ascii="仿宋_GB2312" w:hAnsi="仿宋_GB2312" w:cs="仿宋_GB2312" w:eastAsia="仿宋_GB2312"/>
              </w:rPr>
              <w:t>所配备项目团队，拟投入本项目的监测人员需具备相应的专业资格证书和监测工作经验，核心监测人员不少于5人。 1.人员配备合理，专业性强，经验丰富，职责分工明确，得8分； 2.人员配备基本合理，专业性经验基本丰富，职责分工基本明确，得6分； 3.人员配备一般、专业性一般，经验欠缺，职责分工一般，得4分； 4.人员配备合理差、专业性差，职责分工不明确，得2分； 5.未提供不得分。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磋商响应方案说明</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供应商提供自2022年1月1日以来市政公路隧道或边坡工程或类似市政工程变形监测项目业绩，每提供一个得1分，最高得5分。（提供合同复印件并加盖供应商公章）。未提供不得分。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采用低价优先法计算，即满足磋商文件要求且磋商报价（最终报价）最低的磋商报价为评标基准价，其价格分为满分。 磋商报价得分＝（评标基准价/磋商报价）×15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w:t>
      </w:r>
    </w:p>
    <w:p>
      <w:pPr>
        <w:pStyle w:val="null3"/>
        <w:ind w:firstLine="960"/>
      </w:pPr>
      <w:r>
        <w:rPr>
          <w:rFonts w:ascii="仿宋_GB2312" w:hAnsi="仿宋_GB2312" w:cs="仿宋_GB2312" w:eastAsia="仿宋_GB2312"/>
        </w:rPr>
        <w:t>详见附件：法定代表人证明书及法定代表人授权书</w:t>
      </w:r>
    </w:p>
    <w:p>
      <w:pPr>
        <w:pStyle w:val="null3"/>
        <w:ind w:firstLine="960"/>
      </w:pPr>
      <w:r>
        <w:rPr>
          <w:rFonts w:ascii="仿宋_GB2312" w:hAnsi="仿宋_GB2312" w:cs="仿宋_GB2312" w:eastAsia="仿宋_GB2312"/>
        </w:rPr>
        <w:t>详见附件：服务需求响应表</w:t>
      </w:r>
    </w:p>
    <w:p>
      <w:pPr>
        <w:pStyle w:val="null3"/>
        <w:ind w:firstLine="960"/>
      </w:pPr>
      <w:r>
        <w:rPr>
          <w:rFonts w:ascii="仿宋_GB2312" w:hAnsi="仿宋_GB2312" w:cs="仿宋_GB2312" w:eastAsia="仿宋_GB2312"/>
        </w:rPr>
        <w:t>详见附件：商务偏离表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详见附件：类似项目业绩</w:t>
      </w:r>
    </w:p>
    <w:p>
      <w:pPr>
        <w:pStyle w:val="null3"/>
        <w:ind w:firstLine="960"/>
      </w:pPr>
      <w:r>
        <w:rPr>
          <w:rFonts w:ascii="仿宋_GB2312" w:hAnsi="仿宋_GB2312" w:cs="仿宋_GB2312" w:eastAsia="仿宋_GB2312"/>
        </w:rPr>
        <w:t>详见附件：磋商响应方案说明</w:t>
      </w:r>
    </w:p>
    <w:p>
      <w:pPr>
        <w:pStyle w:val="null3"/>
        <w:ind w:firstLine="960"/>
      </w:pPr>
      <w:r>
        <w:rPr>
          <w:rFonts w:ascii="仿宋_GB2312" w:hAnsi="仿宋_GB2312" w:cs="仿宋_GB2312" w:eastAsia="仿宋_GB2312"/>
        </w:rPr>
        <w:t>详见附件：磋商响应单位承诺书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