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版本号：CGZC-2025-246-0120260228001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西安国际港务区纺渭路雨水出口系统-雨水干管、调蓄池及提升泵站质量检测服务(二次)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CGZC-2025-246-01</w:t>
      </w:r>
      <w:r>
        <w:br/>
      </w:r>
      <w:r>
        <w:br/>
      </w:r>
      <w:r>
        <w:br/>
      </w:r>
    </w:p>
    <w:p>
      <w:pPr>
        <w:pStyle w:val="null3"/>
        <w:jc w:val="center"/>
        <w:outlineLvl w:val="2"/>
      </w:pPr>
      <w:r>
        <w:rPr>
          <w:rFonts w:ascii="仿宋_GB2312" w:hAnsi="仿宋_GB2312" w:cs="仿宋_GB2312" w:eastAsia="仿宋_GB2312"/>
          <w:sz w:val="28"/>
          <w:b/>
        </w:rPr>
        <w:t>西安浐灞国际港住房和城乡建设局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西安浐灞国际港住房和城乡建设局</w:t>
      </w:r>
      <w:r>
        <w:rPr>
          <w:rFonts w:ascii="仿宋_GB2312" w:hAnsi="仿宋_GB2312" w:cs="仿宋_GB2312" w:eastAsia="仿宋_GB2312"/>
        </w:rPr>
        <w:t>委托，拟对</w:t>
      </w:r>
      <w:r>
        <w:rPr>
          <w:rFonts w:ascii="仿宋_GB2312" w:hAnsi="仿宋_GB2312" w:cs="仿宋_GB2312" w:eastAsia="仿宋_GB2312"/>
        </w:rPr>
        <w:t>西安国际港务区纺渭路雨水出口系统-雨水干管、调蓄池及提升泵站质量检测服务(二次)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CGZC-2025-246-01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西安国际港务区纺渭路雨水出口系统-雨水干管、调蓄池及提升泵站质量检测服务(二次)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西安国际港务区纺渭路雨水出口系统-雨水干管、调蓄池及提升泵站质量检测服务，具体详见第三章。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2、基本资格条件：基本资格条件：符合《中华人民共和国政府采购法》第二十二条的规定；</w:t>
      </w:r>
    </w:p>
    <w:p>
      <w:pPr>
        <w:pStyle w:val="null3"/>
      </w:pPr>
      <w:r>
        <w:rPr>
          <w:rFonts w:ascii="仿宋_GB2312" w:hAnsi="仿宋_GB2312" w:cs="仿宋_GB2312" w:eastAsia="仿宋_GB2312"/>
        </w:rPr>
        <w:t>3、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资质证书：供应商需具有省级及以上建设行政主管部门颁发的有效期限内的建设工程质量检测机构综合资质或专项资质（专项资质证书中检测专项应包括市政工程材料、道路工程、地基基础），同时具备检验检测机构资质认定证书。</w:t>
      </w:r>
    </w:p>
    <w:p>
      <w:pPr>
        <w:pStyle w:val="null3"/>
      </w:pPr>
      <w:r>
        <w:rPr>
          <w:rFonts w:ascii="仿宋_GB2312" w:hAnsi="仿宋_GB2312" w:cs="仿宋_GB2312" w:eastAsia="仿宋_GB2312"/>
        </w:rPr>
        <w:t>6、项目负责人：供应商拟派项目负责人应具有工程类专业中级及以上技术职称。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029-83332432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柴静、张佳音、种梦妮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转账事由：CGZC-2025-246-01项目代理服务费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西安浐灞国际港住房和城乡建设局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西安浐灞国际港住房和城乡建设局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联系人：柴静、张佳音、种梦妮</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西安国际港务区纺渭路雨水出口系统-雨水干管、调蓄池及提升泵站质量检测服务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质量检测服务项目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标的名称：质量检测服务项目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pPr>
            <w:r>
              <w:rPr>
                <w:rFonts w:ascii="仿宋_GB2312" w:hAnsi="仿宋_GB2312" w:cs="仿宋_GB2312" w:eastAsia="仿宋_GB2312"/>
                <w:sz w:val="21"/>
                <w:b/>
                <w:color w:val="000000"/>
              </w:rPr>
              <w:t>一、项目概况</w:t>
            </w:r>
          </w:p>
          <w:p>
            <w:pPr>
              <w:pStyle w:val="null3"/>
              <w:ind w:firstLine="420"/>
            </w:pPr>
            <w:r>
              <w:rPr>
                <w:rFonts w:ascii="仿宋_GB2312" w:hAnsi="仿宋_GB2312" w:cs="仿宋_GB2312" w:eastAsia="仿宋_GB2312"/>
                <w:sz w:val="21"/>
              </w:rPr>
              <w:t>1.项目概况：本工程主要包含纺渭路调蓄池及提升泵站、雨水干管等建设内容。其中，调蓄池及提升泵站占地约26.43亩，雨水干管约4.9km。</w:t>
            </w:r>
          </w:p>
          <w:p>
            <w:pPr>
              <w:pStyle w:val="null3"/>
              <w:ind w:firstLine="420"/>
            </w:pPr>
            <w:r>
              <w:rPr>
                <w:rFonts w:ascii="仿宋_GB2312" w:hAnsi="仿宋_GB2312" w:cs="仿宋_GB2312" w:eastAsia="仿宋_GB2312"/>
                <w:sz w:val="21"/>
              </w:rPr>
              <w:t>2.服务内容：包含对西安国际港务区纺渭路雨水出口系统-雨水干管、调蓄池及提升泵站工程的第三方质量检测工作。</w:t>
            </w:r>
          </w:p>
          <w:p>
            <w:pPr>
              <w:pStyle w:val="null3"/>
              <w:ind w:left="45" w:firstLine="422"/>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检测依据</w:t>
            </w:r>
          </w:p>
          <w:p>
            <w:pPr>
              <w:pStyle w:val="null3"/>
              <w:ind w:firstLine="420"/>
              <w:jc w:val="both"/>
            </w:pPr>
            <w:r>
              <w:rPr>
                <w:rFonts w:ascii="仿宋_GB2312" w:hAnsi="仿宋_GB2312" w:cs="仿宋_GB2312" w:eastAsia="仿宋_GB2312"/>
                <w:sz w:val="21"/>
              </w:rPr>
              <w:t>1、主要技术依据：国家、省、市级相关技术依据；</w:t>
            </w:r>
          </w:p>
          <w:p>
            <w:pPr>
              <w:pStyle w:val="null3"/>
              <w:ind w:firstLine="420"/>
              <w:jc w:val="both"/>
            </w:pPr>
            <w:r>
              <w:rPr>
                <w:rFonts w:ascii="仿宋_GB2312" w:hAnsi="仿宋_GB2312" w:cs="仿宋_GB2312" w:eastAsia="仿宋_GB2312"/>
                <w:sz w:val="21"/>
              </w:rPr>
              <w:t>2、成果及格式要求：按国家、省、市现行的技术规定执行。</w:t>
            </w:r>
          </w:p>
          <w:p>
            <w:pPr>
              <w:pStyle w:val="null3"/>
              <w:ind w:firstLine="422"/>
              <w:jc w:val="both"/>
            </w:pPr>
            <w:r>
              <w:rPr>
                <w:rFonts w:ascii="仿宋_GB2312" w:hAnsi="仿宋_GB2312" w:cs="仿宋_GB2312" w:eastAsia="仿宋_GB2312"/>
                <w:sz w:val="21"/>
                <w:b/>
                <w:color w:val="000000"/>
              </w:rPr>
              <w:t>三、检测内容共两部分，附表如下（本表检测数量为根据设计图纸、施工工程量清单和以往类似工程经验估算值，在实际检测过程中应根据现场情况和采购人需要进行。）</w:t>
            </w:r>
          </w:p>
          <w:tbl>
            <w:tblPr>
              <w:tblInd w:type="dxa" w:w="120"/>
              <w:tblBorders>
                <w:top w:val="none" w:color="000000" w:sz="4"/>
                <w:left w:val="none" w:color="000000" w:sz="4"/>
                <w:bottom w:val="none" w:color="000000" w:sz="4"/>
                <w:right w:val="none" w:color="000000" w:sz="4"/>
                <w:insideH w:val="none"/>
                <w:insideV w:val="none"/>
              </w:tblBorders>
            </w:tblPr>
            <w:tblGrid>
              <w:gridCol w:w="116"/>
              <w:gridCol w:w="515"/>
              <w:gridCol w:w="505"/>
              <w:gridCol w:w="788"/>
              <w:gridCol w:w="204"/>
              <w:gridCol w:w="233"/>
              <w:gridCol w:w="184"/>
              <w:gridCol w:w="8"/>
            </w:tblGrid>
            <w:tr>
              <w:tc>
                <w:tcPr>
                  <w:tcW w:type="dxa" w:w="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02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检测项目</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检测参数</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暂定</w:t>
                  </w:r>
                </w:p>
                <w:p>
                  <w:pPr>
                    <w:pStyle w:val="null3"/>
                    <w:jc w:val="center"/>
                  </w:pPr>
                  <w:r>
                    <w:rPr>
                      <w:rFonts w:ascii="仿宋_GB2312" w:hAnsi="仿宋_GB2312" w:cs="仿宋_GB2312" w:eastAsia="仿宋_GB2312"/>
                      <w:sz w:val="21"/>
                      <w:b/>
                      <w:color w:val="000000"/>
                    </w:rPr>
                    <w:t>数量</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第一部分</w:t>
                  </w:r>
                  <w:r>
                    <w:rPr>
                      <w:rFonts w:ascii="仿宋_GB2312" w:hAnsi="仿宋_GB2312" w:cs="仿宋_GB2312" w:eastAsia="仿宋_GB2312"/>
                      <w:sz w:val="21"/>
                      <w:b/>
                      <w:color w:val="000000"/>
                    </w:rPr>
                    <w:t>西安国际港务区纺渭路雨水出口系统</w:t>
                  </w:r>
                  <w:r>
                    <w:rPr>
                      <w:rFonts w:ascii="仿宋_GB2312" w:hAnsi="仿宋_GB2312" w:cs="仿宋_GB2312" w:eastAsia="仿宋_GB2312"/>
                      <w:sz w:val="21"/>
                      <w:b/>
                      <w:color w:val="000000"/>
                    </w:rPr>
                    <w:t>-雨水干管工程检测</w:t>
                  </w: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2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w:t>
                  </w:r>
                  <w:r>
                    <w:rPr>
                      <w:rFonts w:ascii="仿宋_GB2312" w:hAnsi="仿宋_GB2312" w:cs="仿宋_GB2312" w:eastAsia="仿宋_GB2312"/>
                      <w:sz w:val="21"/>
                      <w:color w:val="000000"/>
                    </w:rPr>
                    <w:t>φ14及以下）</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力学性能、重量偏差</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w:t>
                  </w:r>
                  <w:r>
                    <w:rPr>
                      <w:rFonts w:ascii="仿宋_GB2312" w:hAnsi="仿宋_GB2312" w:cs="仿宋_GB2312" w:eastAsia="仿宋_GB2312"/>
                      <w:sz w:val="21"/>
                      <w:color w:val="000000"/>
                    </w:rPr>
                    <w:t>φ14-φ20）</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力学性能、重量偏差</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钢筋焊接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抗拉强度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检查井盖</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抗压强度、残余变形</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w:t>
                  </w:r>
                  <w:r>
                    <w:rPr>
                      <w:rFonts w:ascii="仿宋_GB2312" w:hAnsi="仿宋_GB2312" w:cs="仿宋_GB2312" w:eastAsia="仿宋_GB2312"/>
                      <w:sz w:val="21"/>
                      <w:color w:val="000000"/>
                    </w:rPr>
                    <w:t>/石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最佳干密度及最佳含水率</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6"/>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2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石灰土</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最佳干密度及最佳含水率</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none" w:color="000000" w:sz="4"/>
                  </w:tcBorders>
                </w:tcPr>
                <w:p/>
              </w:tc>
              <w:tc>
                <w:tcPr>
                  <w:tcW w:type="dxa" w:w="1020"/>
                  <w:gridSpan w:val="2"/>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石灰剂量标准滴定曲线（</w:t>
                  </w:r>
                  <w:r>
                    <w:rPr>
                      <w:rFonts w:ascii="仿宋_GB2312" w:hAnsi="仿宋_GB2312" w:cs="仿宋_GB2312" w:eastAsia="仿宋_GB2312"/>
                      <w:sz w:val="21"/>
                      <w:color w:val="000000"/>
                    </w:rPr>
                    <w:t>EDTA法）</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none" w:color="000000" w:sz="4"/>
                  </w:tcBorders>
                </w:tcPr>
                <w:p/>
              </w:tc>
              <w:tc>
                <w:tcPr>
                  <w:tcW w:type="dxa" w:w="1020"/>
                  <w:gridSpan w:val="2"/>
                  <w:vMerge/>
                  <w:tcBorders>
                    <w:top w:val="none" w:color="000000" w:sz="4"/>
                    <w:left w:val="singl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石灰剂量</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原状土承载力</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圆锥动力触探</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水泥混凝土</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混凝土立方体抗压强度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压实度（环刀法）</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压实度（灌砂法）</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力学性能、凝结时间、安定性、细度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筛分、含泥量、表观密度、堆积密度等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碎石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筛分、含泥量、表观密度、压碎值、磨耗值等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石灰</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细度、钙镁含量</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砖</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石材水饱和抗压强度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水泥混凝土</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配合比</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水泥砂浆</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配合比</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0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钢筋混凝土钢承口管</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回弹值</w:t>
                  </w:r>
                  <w:r>
                    <w:rPr>
                      <w:rFonts w:ascii="仿宋_GB2312" w:hAnsi="仿宋_GB2312" w:cs="仿宋_GB2312" w:eastAsia="仿宋_GB2312"/>
                      <w:sz w:val="21"/>
                      <w:color w:val="000000"/>
                    </w:rPr>
                    <w:t>/钢筋间距/保护层厚度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结构工程现场检测</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砼强度</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抗压强度检测</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测区</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保护层厚度</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保护层厚度检测</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构件</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第二部分</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西安国际港务区纺渭路雨水出口系统</w:t>
                  </w:r>
                  <w:r>
                    <w:rPr>
                      <w:rFonts w:ascii="仿宋_GB2312" w:hAnsi="仿宋_GB2312" w:cs="仿宋_GB2312" w:eastAsia="仿宋_GB2312"/>
                      <w:sz w:val="21"/>
                      <w:b/>
                      <w:color w:val="000000"/>
                    </w:rPr>
                    <w:t>-调蓄池及泵站工程检测</w:t>
                  </w: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水泥混凝土</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混凝土立方体抗压强度</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9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single" w:color="000000" w:sz="4"/>
                    <w:left w:val="none" w:color="000000" w:sz="4"/>
                    <w:bottom w:val="single" w:color="000000" w:sz="4"/>
                    <w:right w:val="single" w:color="000000" w:sz="4"/>
                  </w:tcBorders>
                </w:tcPr>
                <w:p/>
              </w:tc>
              <w:tc>
                <w:tcPr>
                  <w:tcW w:type="dxa" w:w="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抗渗混凝土</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混凝土立方体抗压强度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single" w:color="000000" w:sz="4"/>
                    <w:left w:val="none" w:color="000000" w:sz="4"/>
                    <w:bottom w:val="singl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混凝土抗渗性能</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w:t>
                  </w:r>
                  <w:r>
                    <w:rPr>
                      <w:rFonts w:ascii="仿宋_GB2312" w:hAnsi="仿宋_GB2312" w:cs="仿宋_GB2312" w:eastAsia="仿宋_GB2312"/>
                      <w:sz w:val="21"/>
                      <w:color w:val="000000"/>
                    </w:rPr>
                    <w:t>φ14及以下）</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力学性能、重量偏差</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w:t>
                  </w:r>
                  <w:r>
                    <w:rPr>
                      <w:rFonts w:ascii="仿宋_GB2312" w:hAnsi="仿宋_GB2312" w:cs="仿宋_GB2312" w:eastAsia="仿宋_GB2312"/>
                      <w:sz w:val="21"/>
                      <w:color w:val="000000"/>
                    </w:rPr>
                    <w:t>φ14以上）</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力学性能、重量偏差</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钢筋焊接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抗拉强度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土方</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压实度（环刀法）</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压实度（环刀法）</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压实度（环刀法）</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压实度（灌砂法）</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抗浮锚杆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8m/根</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力学性能</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2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抗浮锚杆注浆水泥砂浆</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水泥砂浆配合比验证</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1020"/>
                  <w:gridSpan w:val="2"/>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水泥砂浆试块抗压强度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防水材料</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水泥基渗透结晶型高效防水材料</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含水率、细度、氯离子、施工性、</w:t>
                  </w:r>
                  <w:r>
                    <w:rPr>
                      <w:rFonts w:ascii="仿宋_GB2312" w:hAnsi="仿宋_GB2312" w:cs="仿宋_GB2312" w:eastAsia="仿宋_GB2312"/>
                      <w:sz w:val="21"/>
                      <w:color w:val="000000"/>
                    </w:rPr>
                    <w:t>28抗折强度、28d 抗压强度、湿基面粘结强度、砂浆抗渗性能、混凝土抗渗性能</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防水卷材（耐根穿刺型）</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拉伸强度、拉断伸长率、撕裂强度不透水性、低温弯折</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防水卷材</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拉力、延伸率、不透水性、低温柔性、耐热度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防水涂料</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固体含量、表干时间、实干时间、拉伸强度、医断裂伸长率、低温弯折性、不透水性</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止水钢板</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力学性能</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边坡支护</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力学性能</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砖砌体</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砖砌体</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砌块</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砌块</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w:t>
                  </w:r>
                </w:p>
              </w:tc>
              <w:tc>
                <w:tcPr>
                  <w:tcW w:type="dxa" w:w="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沥青混凝土</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弯沉值</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马歇尔稳定度、流值</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沥青含量</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矿料级配</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最大理论相对密度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洒粘层油</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洒布量</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30厘米水泥稳定碎石（水泥含量5%）</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7d无侧限抗压强度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20厘米石灰土（含灰量10%）</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7d无侧限抗压强度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乙式路缘石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水泥砂浆</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水泥砂浆配合比验证</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水泥砂浆试块抗压强度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电缆（高压）</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导体直流电阻，绝缘或护套厚度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电缆（低压）</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导体直流电阻，绝缘或护套厚度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电气配线</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电气配线</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导体直流电阻，绝缘或护套厚度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导体直流电阻，绝缘或护套厚度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光缆</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衰减系数、回波损耗、抗拉强度、弯曲性能</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管材</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UPVC、PVC、PVC-U管材</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平均外径、壁厚、密度、维卡软化温度、纵向回缩率、拉伸屈服强度、落锤冲击试验</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PP-R管</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平均外径、壁厚、断裂伸长率、静水压力</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钢管</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力学、压扁、弯曲</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双壁波纹管</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环刚度、环柔度、烘箱试验、冲击性能（</w:t>
                  </w:r>
                  <w:r>
                    <w:rPr>
                      <w:rFonts w:ascii="仿宋_GB2312" w:hAnsi="仿宋_GB2312" w:cs="仿宋_GB2312" w:eastAsia="仿宋_GB2312"/>
                      <w:sz w:val="21"/>
                      <w:color w:val="000000"/>
                    </w:rPr>
                    <w:t>TIR）</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球墨铸铁管</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外观尺寸、水压试验、抗拉强度</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PE管</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平均外径、壁厚、断裂伸长率、静水压力</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结构工程现场检测</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砼强度</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抗压强度检测</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测区</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6"/>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保护层厚度</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保护层厚度检测</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构件</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color w:val="000000"/>
              </w:rPr>
              <w:t>四、检测要求</w:t>
            </w:r>
          </w:p>
          <w:p>
            <w:pPr>
              <w:pStyle w:val="null3"/>
              <w:ind w:firstLine="420"/>
              <w:jc w:val="left"/>
            </w:pPr>
            <w:r>
              <w:rPr>
                <w:rFonts w:ascii="仿宋_GB2312" w:hAnsi="仿宋_GB2312" w:cs="仿宋_GB2312" w:eastAsia="仿宋_GB2312"/>
                <w:sz w:val="21"/>
                <w:color w:val="000000"/>
              </w:rPr>
              <w:t>1.质量检测工作必须依据各试验规程要求进行，确保检测结果真实、准确；</w:t>
            </w:r>
          </w:p>
          <w:p>
            <w:pPr>
              <w:pStyle w:val="null3"/>
              <w:ind w:firstLine="420"/>
              <w:jc w:val="left"/>
            </w:pPr>
            <w:r>
              <w:rPr>
                <w:rFonts w:ascii="仿宋_GB2312" w:hAnsi="仿宋_GB2312" w:cs="仿宋_GB2312" w:eastAsia="仿宋_GB2312"/>
                <w:sz w:val="21"/>
                <w:color w:val="000000"/>
              </w:rPr>
              <w:t>2.检测报告及结论必须做到清晰、完整、表达准确，签章齐全；</w:t>
            </w:r>
          </w:p>
          <w:p>
            <w:pPr>
              <w:pStyle w:val="null3"/>
              <w:ind w:firstLine="420"/>
              <w:jc w:val="left"/>
            </w:pPr>
            <w:r>
              <w:rPr>
                <w:rFonts w:ascii="仿宋_GB2312" w:hAnsi="仿宋_GB2312" w:cs="仿宋_GB2312" w:eastAsia="仿宋_GB2312"/>
                <w:sz w:val="21"/>
                <w:color w:val="000000"/>
              </w:rPr>
              <w:t>3.成果清单文件提供份数：纸质版4份、电子版1份；</w:t>
            </w:r>
          </w:p>
          <w:p>
            <w:pPr>
              <w:pStyle w:val="null3"/>
              <w:ind w:firstLine="420"/>
              <w:jc w:val="left"/>
            </w:pPr>
            <w:r>
              <w:rPr>
                <w:rFonts w:ascii="仿宋_GB2312" w:hAnsi="仿宋_GB2312" w:cs="仿宋_GB2312" w:eastAsia="仿宋_GB2312"/>
                <w:sz w:val="21"/>
                <w:color w:val="000000"/>
              </w:rPr>
              <w:t>4.乙方向甲方交付约定的成果。甲方如需增加成果数量，增加服务费用由双方书面协商解决；</w:t>
            </w:r>
          </w:p>
          <w:p>
            <w:pPr>
              <w:pStyle w:val="null3"/>
              <w:ind w:firstLine="420"/>
              <w:jc w:val="left"/>
            </w:pPr>
            <w:r>
              <w:rPr>
                <w:rFonts w:ascii="仿宋_GB2312" w:hAnsi="仿宋_GB2312" w:cs="仿宋_GB2312" w:eastAsia="仿宋_GB2312"/>
                <w:sz w:val="21"/>
                <w:color w:val="000000"/>
              </w:rPr>
              <w:t>5.各阶段成果数量根据项目汇报交流与审查需要，本着节约实用的原则确定；</w:t>
            </w:r>
          </w:p>
          <w:p>
            <w:pPr>
              <w:pStyle w:val="null3"/>
            </w:pPr>
            <w:r>
              <w:rPr>
                <w:rFonts w:ascii="仿宋_GB2312" w:hAnsi="仿宋_GB2312" w:cs="仿宋_GB2312" w:eastAsia="仿宋_GB2312"/>
                <w:sz w:val="21"/>
                <w:color w:val="000000"/>
              </w:rPr>
              <w:t xml:space="preserve">   6.成果需通过相关部门审核。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现场服务全部完成并达到检测条件后30个日历天（具体开工时间以甲方通知为准）。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供应商按照采购人要求完成报告编制工作，并提交给采购人进行审核。采购人依据成交单价以及经审核的实际检测数量进行据实结算后予以支付。 供应商应向采购人出具书面付款申请（注明开户行及账户信息）以及符合国家财税规定的增值税发票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（1）服务范围：纺渭路雨水出口系统-雨水干管、调蓄池及提升泵站质量检测服务； （2）服务要求：满足采购需求及磋商文件要求； （3）服务标准：符合国家及行业有关现行规范、标准的要求。 （4）付款条件说明（上述“3.3.5.支付约定”付款格式为制式模板，以此处为准）：供应商按照采购人要求完成报告编制工作，并提交给采购人进行审核。采购人依据成交单价以及经审核的实际检测数量进行据实结算后予以支付。 （5）根据财政部《关于推动解决政府采购异常低价问题的通知》（财库〔2026〕2号）出现下列情形之一的，评审委员会应当启动异常低价投标（响应）审查程序：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基本资格条件：符合《中华人民共和国政府采购法》第二十二条的规定；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具有省级及以上建设行政主管部门颁发的有效期限内的建设工程质量检测机构综合资质或专项资质（专项资质证书中检测专项应包括市政工程材料、道路工程、地基基础），同时具备检验检测机构资质认定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供应商拟派项目负责人应具有工程类专业中级及以上技术职称。</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磋商响应单位承诺书.docx 分项报价明细表.docx 标的清单 报价表 服务内容及服务要求应答表.docx 商务应答表.docx 法定代表人证明书及法定代表人授权书.docx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中小企业声明函 分项报价明细表.docx 报价表 商务应答表.docx 资格证明文件.docx 磋商响应方案说明.docx 响应文件封面 磋商响应单位承诺书.docx 类似项目业绩.docx 残疾人福利性单位声明函 标的清单 服务内容及服务要求应答表.docx 法定代表人证明书及法定代表人授权书.docx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分项报价明细表.docx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针对本项目的总体服务方案：①实施方案及工作流程（5分）；②进度控制（5分）；③检测方案（5分）；④安全保障措施（5分）；⑤人员管理方案及与采购人沟通机制（5分）；⑥后续服务及档案资料保存等（5分）。 以上各项方案内容详尽、科学、合理，可行性强得5分；方案科学、合理，可行性较强得4分；方案基本科学、合理，可行性得3分；方案内容一般，可行性一般得2分；方案内容简单笼统，无针对性得1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项目重点难点分析及解决方案</w:t>
            </w:r>
          </w:p>
        </w:tc>
        <w:tc>
          <w:tcPr>
            <w:tcW w:type="dxa" w:w="2492"/>
          </w:tcPr>
          <w:p>
            <w:pPr>
              <w:pStyle w:val="null3"/>
            </w:pPr>
            <w:r>
              <w:rPr>
                <w:rFonts w:ascii="仿宋_GB2312" w:hAnsi="仿宋_GB2312" w:cs="仿宋_GB2312" w:eastAsia="仿宋_GB2312"/>
              </w:rPr>
              <w:t>供应商提供项目重点难点分析及解决方案，方案内容得当、措施全面、合理可行、项目针对性强得9分；方案内容符合要求，内容全面、针对性较强得7分；方案内容措施较全面、针对性一般得5分；方案内容简要、措施不够全面、可行性一般得3分；方案空泛或无实质性内容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项目团队人员经验丰富、专业性强、配备科学合理、职责任务、分工明确合理、可操作性强得10分；人员经验丰富、专业性较强、配备较科学合理、职责任务、分工较明确得8分；人员经验基本丰富、配备较合理、职责任务明确有针对性得6分；人员经验基本丰富、配备基本合理、职责任务基本明确得4分；人员经验一般、配备一般、职责任务不太明确得2分；人员经验内容简单笼统，职责任务不明确、无针对性得1分；未提供不得分。以上相关人员需提供近六个月内任意一个月社保缴纳证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根据供应商针对本项目提供质量控制方案，包括但不限于：①质量控制重点分析；②质量控制体系；③质量控制措施等）； 方案内容得当、措施全面、合理可行、项目针对性强，得10分；方案内容符合要求，内容全面、针对性较强，得8分；方案内容基本涵盖，基本保证项目质量，得6分；方案内容简要、措施不够全面、可行性一般得4分；方案涵盖内容一般，有明显缺失，得2分；方案空泛或无实质性内容，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供应商根据项目情况提供检测设备清单，并提供相关其证明材料。 设备配备齐全、功能完全满足本项目需要得10分； 设备配备较齐全、功能满足本项目需要得8分；设备配备基本齐全、基本满足本项目需要得6分； 设备配备部分齐全、部分满足本项目需要得4分；设备配备一般得2分；设备配备简单无针对性得1分；未提供不得分。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报告编制方案</w:t>
            </w:r>
          </w:p>
        </w:tc>
        <w:tc>
          <w:tcPr>
            <w:tcW w:type="dxa" w:w="2492"/>
          </w:tcPr>
          <w:p>
            <w:pPr>
              <w:pStyle w:val="null3"/>
            </w:pPr>
            <w:r>
              <w:rPr>
                <w:rFonts w:ascii="仿宋_GB2312" w:hAnsi="仿宋_GB2312" w:cs="仿宋_GB2312" w:eastAsia="仿宋_GB2312"/>
              </w:rPr>
              <w:t>针对采购内容提供适用于本项目的报告编制方案，方案包括：①报告编制规范性方案（3分）；②报告内容成果准确性保障方案（3分）。 报告编制方案内容阐述清晰、详实，符合本项目采购需求得3分；报告编制方案内容阐述较清晰、详实，较符合本项目采购需求得2分；报告编制方案内容基本清晰得1分；未提供不得分。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供应商提供2022年1月1日至今（以合同签订时间为准）类似业绩，以合同协议书为准，每份得2分，最高得10分。 注：需提供合同（包含合同首页、关键内容页及签署页）复印件并加盖本单位公章有效证明文件。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