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8CAC1">
      <w:pPr>
        <w:keepNext w:val="0"/>
        <w:keepLines w:val="0"/>
        <w:pageBreakBefore w:val="0"/>
        <w:wordWrap/>
        <w:overflowPunct/>
        <w:topLinePunct w:val="0"/>
        <w:bidi w:val="0"/>
        <w:spacing w:line="360" w:lineRule="auto"/>
        <w:rPr>
          <w:rFonts w:hint="eastAsia" w:ascii="宋体" w:hAnsi="宋体" w:eastAsia="宋体" w:cs="宋体"/>
          <w:spacing w:val="0"/>
          <w:position w:val="0"/>
          <w:sz w:val="21"/>
          <w:szCs w:val="21"/>
        </w:rPr>
      </w:pPr>
    </w:p>
    <w:p w14:paraId="19556971">
      <w:pPr>
        <w:keepNext w:val="0"/>
        <w:keepLines w:val="0"/>
        <w:pageBreakBefore w:val="0"/>
        <w:wordWrap/>
        <w:overflowPunct/>
        <w:topLinePunct w:val="0"/>
        <w:bidi w:val="0"/>
        <w:spacing w:line="360" w:lineRule="auto"/>
        <w:rPr>
          <w:rFonts w:hint="eastAsia" w:ascii="宋体" w:hAnsi="宋体" w:eastAsia="宋体" w:cs="宋体"/>
          <w:spacing w:val="0"/>
          <w:position w:val="0"/>
          <w:sz w:val="21"/>
          <w:szCs w:val="21"/>
        </w:rPr>
      </w:pPr>
    </w:p>
    <w:p w14:paraId="49A76313">
      <w:pPr>
        <w:keepNext w:val="0"/>
        <w:keepLines w:val="0"/>
        <w:pageBreakBefore w:val="0"/>
        <w:wordWrap/>
        <w:overflowPunct/>
        <w:topLinePunct w:val="0"/>
        <w:bidi w:val="0"/>
        <w:spacing w:line="360" w:lineRule="auto"/>
        <w:rPr>
          <w:rFonts w:hint="eastAsia" w:ascii="宋体" w:hAnsi="宋体" w:eastAsia="宋体" w:cs="宋体"/>
          <w:spacing w:val="0"/>
          <w:position w:val="0"/>
          <w:sz w:val="21"/>
          <w:szCs w:val="21"/>
        </w:rPr>
      </w:pPr>
    </w:p>
    <w:p w14:paraId="571A7AB1">
      <w:pPr>
        <w:spacing w:line="300" w:lineRule="auto"/>
        <w:jc w:val="center"/>
        <w:rPr>
          <w:rFonts w:hint="eastAsia" w:ascii="宋体" w:hAnsi="宋体" w:eastAsia="宋体" w:cs="宋体"/>
          <w:b/>
          <w:bCs/>
          <w:sz w:val="44"/>
          <w:szCs w:val="44"/>
          <w:highlight w:val="none"/>
          <w:lang w:eastAsia="zh-CN"/>
        </w:rPr>
      </w:pPr>
      <w:r>
        <w:rPr>
          <w:rFonts w:hint="eastAsia" w:ascii="宋体" w:hAnsi="宋体" w:eastAsia="宋体" w:cs="宋体"/>
          <w:b/>
          <w:bCs/>
          <w:sz w:val="36"/>
          <w:szCs w:val="36"/>
          <w:highlight w:val="none"/>
          <w:lang w:eastAsia="zh-CN"/>
        </w:rPr>
        <w:t>合同草案条款</w:t>
      </w:r>
    </w:p>
    <w:p w14:paraId="78287936">
      <w:pPr>
        <w:rPr>
          <w:rFonts w:hint="eastAsia"/>
        </w:rPr>
      </w:pPr>
    </w:p>
    <w:p w14:paraId="0E0FE783">
      <w:pPr>
        <w:spacing w:line="300" w:lineRule="auto"/>
        <w:jc w:val="center"/>
        <w:rPr>
          <w:rFonts w:hint="eastAsia" w:ascii="宋体" w:hAnsi="宋体" w:eastAsia="宋体" w:cs="宋体"/>
          <w:b/>
          <w:bCs/>
          <w:sz w:val="40"/>
          <w:szCs w:val="40"/>
          <w:highlight w:val="none"/>
          <w:lang w:eastAsia="zh-CN"/>
        </w:rPr>
      </w:pPr>
    </w:p>
    <w:p w14:paraId="2413DF4C">
      <w:pPr>
        <w:spacing w:line="300" w:lineRule="auto"/>
        <w:jc w:val="center"/>
        <w:rPr>
          <w:rFonts w:hint="eastAsia" w:ascii="宋体" w:hAnsi="宋体" w:eastAsia="宋体" w:cs="宋体"/>
          <w:b/>
          <w:bCs/>
          <w:kern w:val="2"/>
          <w:sz w:val="44"/>
          <w:szCs w:val="44"/>
          <w:highlight w:val="none"/>
          <w:lang w:val="en-US" w:eastAsia="zh-CN" w:bidi="ar-SA"/>
        </w:rPr>
      </w:pPr>
      <w:r>
        <w:rPr>
          <w:rFonts w:hint="eastAsia" w:ascii="宋体" w:hAnsi="宋体" w:eastAsia="宋体" w:cs="宋体"/>
          <w:b/>
          <w:bCs/>
          <w:sz w:val="40"/>
          <w:szCs w:val="40"/>
          <w:highlight w:val="none"/>
          <w:lang w:eastAsia="zh-CN"/>
        </w:rPr>
        <w:t>西安国际港务区纺渭路雨水出口系统-雨水干管、调蓄池及提升泵站质量检测服务（</w:t>
      </w:r>
      <w:r>
        <w:rPr>
          <w:rFonts w:hint="eastAsia" w:ascii="宋体" w:hAnsi="宋体" w:eastAsia="宋体" w:cs="宋体"/>
          <w:b/>
          <w:bCs/>
          <w:sz w:val="40"/>
          <w:szCs w:val="40"/>
          <w:highlight w:val="none"/>
          <w:lang w:val="en-US" w:eastAsia="zh-CN"/>
        </w:rPr>
        <w:t>二次</w:t>
      </w:r>
      <w:r>
        <w:rPr>
          <w:rFonts w:hint="eastAsia" w:ascii="宋体" w:hAnsi="宋体" w:eastAsia="宋体" w:cs="宋体"/>
          <w:b/>
          <w:bCs/>
          <w:sz w:val="40"/>
          <w:szCs w:val="40"/>
          <w:highlight w:val="none"/>
          <w:lang w:eastAsia="zh-CN"/>
        </w:rPr>
        <w:t>）</w:t>
      </w:r>
      <w:r>
        <w:rPr>
          <w:rFonts w:hint="eastAsia" w:ascii="宋体" w:hAnsi="宋体" w:eastAsia="宋体" w:cs="宋体"/>
          <w:b/>
          <w:bCs/>
          <w:kern w:val="2"/>
          <w:sz w:val="40"/>
          <w:szCs w:val="40"/>
          <w:highlight w:val="none"/>
          <w:lang w:val="en-US" w:eastAsia="zh-CN" w:bidi="ar-SA"/>
        </w:rPr>
        <w:t>合同</w:t>
      </w:r>
    </w:p>
    <w:p w14:paraId="5CEEC0D7">
      <w:pPr>
        <w:rPr>
          <w:rFonts w:hint="eastAsia" w:ascii="宋体" w:hAnsi="宋体" w:eastAsia="宋体" w:cs="宋体"/>
          <w:kern w:val="2"/>
          <w:sz w:val="36"/>
          <w:szCs w:val="36"/>
          <w:highlight w:val="none"/>
          <w:lang w:val="en-US" w:eastAsia="zh-CN" w:bidi="ar-SA"/>
        </w:rPr>
      </w:pPr>
    </w:p>
    <w:p w14:paraId="72A503BB">
      <w:pPr>
        <w:pStyle w:val="2"/>
        <w:rPr>
          <w:rFonts w:hint="eastAsia" w:ascii="宋体" w:hAnsi="宋体" w:eastAsia="宋体" w:cs="宋体"/>
          <w:kern w:val="2"/>
          <w:sz w:val="36"/>
          <w:szCs w:val="36"/>
          <w:highlight w:val="none"/>
          <w:lang w:val="en-US" w:eastAsia="zh-CN" w:bidi="ar-SA"/>
        </w:rPr>
      </w:pPr>
    </w:p>
    <w:p w14:paraId="45976B89">
      <w:pPr>
        <w:rPr>
          <w:rFonts w:hint="eastAsia" w:ascii="宋体" w:hAnsi="宋体" w:eastAsia="宋体" w:cs="宋体"/>
          <w:kern w:val="2"/>
          <w:sz w:val="36"/>
          <w:szCs w:val="36"/>
          <w:highlight w:val="none"/>
          <w:lang w:val="en-US" w:eastAsia="zh-CN" w:bidi="ar-SA"/>
        </w:rPr>
      </w:pPr>
    </w:p>
    <w:p w14:paraId="1E3AFB98">
      <w:pPr>
        <w:pStyle w:val="2"/>
        <w:rPr>
          <w:rFonts w:hint="eastAsia" w:ascii="宋体" w:hAnsi="宋体" w:eastAsia="宋体" w:cs="宋体"/>
          <w:kern w:val="2"/>
          <w:sz w:val="36"/>
          <w:szCs w:val="36"/>
          <w:highlight w:val="none"/>
          <w:lang w:val="en-US" w:eastAsia="zh-CN" w:bidi="ar-SA"/>
        </w:rPr>
      </w:pPr>
    </w:p>
    <w:p w14:paraId="783BC9CC">
      <w:pPr>
        <w:rPr>
          <w:rFonts w:hint="eastAsia" w:ascii="宋体" w:hAnsi="宋体" w:eastAsia="宋体" w:cs="宋体"/>
          <w:kern w:val="2"/>
          <w:sz w:val="36"/>
          <w:szCs w:val="36"/>
          <w:highlight w:val="none"/>
          <w:lang w:val="en-US" w:eastAsia="zh-CN" w:bidi="ar-SA"/>
        </w:rPr>
      </w:pPr>
    </w:p>
    <w:p w14:paraId="17D56B73">
      <w:pPr>
        <w:pStyle w:val="2"/>
        <w:rPr>
          <w:rFonts w:hint="eastAsia" w:ascii="宋体" w:hAnsi="宋体" w:eastAsia="宋体" w:cs="宋体"/>
          <w:kern w:val="2"/>
          <w:sz w:val="36"/>
          <w:szCs w:val="36"/>
          <w:highlight w:val="none"/>
          <w:lang w:val="en-US" w:eastAsia="zh-CN" w:bidi="ar-SA"/>
        </w:rPr>
      </w:pPr>
    </w:p>
    <w:p w14:paraId="50FCA2CE">
      <w:pPr>
        <w:rPr>
          <w:rFonts w:hint="eastAsia" w:ascii="宋体" w:hAnsi="宋体" w:eastAsia="宋体" w:cs="宋体"/>
          <w:kern w:val="2"/>
          <w:sz w:val="36"/>
          <w:szCs w:val="36"/>
          <w:highlight w:val="none"/>
          <w:lang w:val="en-US" w:eastAsia="zh-CN" w:bidi="ar-SA"/>
        </w:rPr>
      </w:pPr>
    </w:p>
    <w:p w14:paraId="1434946D">
      <w:pPr>
        <w:pStyle w:val="2"/>
        <w:rPr>
          <w:rFonts w:hint="eastAsia" w:ascii="宋体" w:hAnsi="宋体" w:eastAsia="宋体" w:cs="宋体"/>
          <w:kern w:val="2"/>
          <w:sz w:val="36"/>
          <w:szCs w:val="36"/>
          <w:highlight w:val="none"/>
          <w:lang w:val="en-US" w:eastAsia="zh-CN" w:bidi="ar-SA"/>
        </w:rPr>
      </w:pPr>
    </w:p>
    <w:p w14:paraId="6D59269C">
      <w:pPr>
        <w:rPr>
          <w:rFonts w:hint="eastAsia" w:ascii="宋体" w:hAnsi="宋体" w:eastAsia="宋体" w:cs="宋体"/>
          <w:kern w:val="2"/>
          <w:sz w:val="36"/>
          <w:szCs w:val="36"/>
          <w:highlight w:val="none"/>
          <w:lang w:val="en-US" w:eastAsia="zh-CN" w:bidi="ar-SA"/>
        </w:rPr>
      </w:pPr>
    </w:p>
    <w:p w14:paraId="0BF6E13A">
      <w:pPr>
        <w:pStyle w:val="2"/>
        <w:rPr>
          <w:rFonts w:hint="eastAsia" w:ascii="宋体" w:hAnsi="宋体" w:eastAsia="宋体" w:cs="宋体"/>
          <w:kern w:val="2"/>
          <w:sz w:val="36"/>
          <w:szCs w:val="36"/>
          <w:highlight w:val="none"/>
          <w:lang w:val="en-US" w:eastAsia="zh-CN" w:bidi="ar-SA"/>
        </w:rPr>
      </w:pPr>
    </w:p>
    <w:p w14:paraId="1348DB61">
      <w:pPr>
        <w:rPr>
          <w:rFonts w:hint="eastAsia"/>
          <w:lang w:val="en-US" w:eastAsia="zh-CN"/>
        </w:rPr>
      </w:pPr>
    </w:p>
    <w:p w14:paraId="344D8317">
      <w:pPr>
        <w:jc w:val="left"/>
        <w:rPr>
          <w:rFonts w:hint="eastAsia" w:ascii="宋体" w:hAnsi="宋体" w:eastAsia="宋体" w:cs="宋体"/>
          <w:kern w:val="2"/>
          <w:sz w:val="28"/>
          <w:szCs w:val="28"/>
          <w:highlight w:val="none"/>
          <w:lang w:val="en-US" w:eastAsia="zh-CN" w:bidi="ar-SA"/>
        </w:rPr>
      </w:pPr>
    </w:p>
    <w:p w14:paraId="625E5602">
      <w:pPr>
        <w:pStyle w:val="2"/>
        <w:ind w:firstLine="1401" w:firstLineChars="500"/>
        <w:jc w:val="left"/>
        <w:rPr>
          <w:rFonts w:hint="default" w:ascii="宋体" w:hAnsi="宋体" w:eastAsia="宋体" w:cs="宋体"/>
          <w:b/>
          <w:bCs/>
          <w:kern w:val="2"/>
          <w:sz w:val="28"/>
          <w:szCs w:val="28"/>
          <w:highlight w:val="none"/>
          <w:u w:val="single"/>
          <w:lang w:val="en-US" w:eastAsia="zh-CN" w:bidi="ar-SA"/>
        </w:rPr>
      </w:pPr>
      <w:r>
        <w:rPr>
          <w:rFonts w:hint="eastAsia" w:cs="宋体"/>
          <w:b/>
          <w:bCs/>
          <w:kern w:val="2"/>
          <w:sz w:val="28"/>
          <w:szCs w:val="28"/>
          <w:highlight w:val="none"/>
          <w:lang w:val="en-US" w:eastAsia="zh-CN" w:bidi="ar-SA"/>
        </w:rPr>
        <w:t>甲方</w:t>
      </w:r>
      <w:r>
        <w:rPr>
          <w:rFonts w:hint="eastAsia" w:ascii="宋体" w:hAnsi="宋体" w:eastAsia="宋体" w:cs="宋体"/>
          <w:b/>
          <w:bCs/>
          <w:kern w:val="2"/>
          <w:sz w:val="28"/>
          <w:szCs w:val="28"/>
          <w:highlight w:val="none"/>
          <w:lang w:val="en-US" w:eastAsia="zh-CN" w:bidi="ar-SA"/>
        </w:rPr>
        <w:t>：</w:t>
      </w:r>
      <w:r>
        <w:rPr>
          <w:rFonts w:hint="eastAsia" w:ascii="宋体" w:hAnsi="宋体" w:eastAsia="宋体" w:cs="宋体"/>
          <w:b/>
          <w:bCs/>
          <w:kern w:val="2"/>
          <w:sz w:val="28"/>
          <w:szCs w:val="28"/>
          <w:highlight w:val="none"/>
          <w:u w:val="single"/>
          <w:lang w:val="en-US" w:eastAsia="zh-CN" w:bidi="ar-SA"/>
        </w:rPr>
        <w:t xml:space="preserve">                                 </w:t>
      </w:r>
    </w:p>
    <w:p w14:paraId="028C99B2">
      <w:pPr>
        <w:bidi w:val="0"/>
        <w:rPr>
          <w:rFonts w:hint="eastAsia"/>
          <w:lang w:val="en-US" w:eastAsia="zh-CN"/>
        </w:rPr>
      </w:pPr>
    </w:p>
    <w:p w14:paraId="77CE3B93">
      <w:pPr>
        <w:ind w:firstLine="1405" w:firstLineChars="500"/>
        <w:jc w:val="left"/>
        <w:rPr>
          <w:rFonts w:hint="default" w:ascii="宋体" w:hAnsi="宋体" w:eastAsia="宋体" w:cs="宋体"/>
          <w:b/>
          <w:bCs/>
          <w:kern w:val="2"/>
          <w:sz w:val="28"/>
          <w:szCs w:val="28"/>
          <w:highlight w:val="none"/>
          <w:u w:val="single"/>
          <w:lang w:val="en-US" w:eastAsia="zh-CN" w:bidi="ar-SA"/>
        </w:rPr>
      </w:pPr>
      <w:r>
        <w:rPr>
          <w:rFonts w:hint="eastAsia" w:ascii="宋体" w:hAnsi="宋体" w:eastAsia="宋体" w:cs="宋体"/>
          <w:b/>
          <w:bCs/>
          <w:kern w:val="2"/>
          <w:sz w:val="28"/>
          <w:szCs w:val="28"/>
          <w:highlight w:val="none"/>
          <w:lang w:val="en-US" w:eastAsia="zh-CN" w:bidi="ar-SA"/>
        </w:rPr>
        <w:t>乙方：</w:t>
      </w:r>
      <w:r>
        <w:rPr>
          <w:rFonts w:hint="eastAsia" w:ascii="宋体" w:hAnsi="宋体" w:cs="宋体"/>
          <w:b/>
          <w:bCs/>
          <w:kern w:val="2"/>
          <w:sz w:val="28"/>
          <w:szCs w:val="28"/>
          <w:highlight w:val="none"/>
          <w:u w:val="single"/>
          <w:lang w:val="en-US" w:eastAsia="zh-CN" w:bidi="ar-SA"/>
        </w:rPr>
        <w:t xml:space="preserve">                                 </w:t>
      </w:r>
    </w:p>
    <w:p w14:paraId="43F1A44B">
      <w:pPr>
        <w:ind w:firstLine="1401" w:firstLineChars="500"/>
        <w:jc w:val="left"/>
        <w:rPr>
          <w:rFonts w:hint="eastAsia" w:ascii="Arial" w:hAnsi="Arial" w:eastAsia="Arial" w:cs="宋体"/>
          <w:b/>
          <w:bCs/>
          <w:snapToGrid w:val="0"/>
          <w:color w:val="000000"/>
          <w:kern w:val="2"/>
          <w:sz w:val="28"/>
          <w:szCs w:val="28"/>
          <w:highlight w:val="none"/>
          <w:lang w:val="en-US" w:eastAsia="zh-CN" w:bidi="ar-SA"/>
        </w:rPr>
      </w:pPr>
    </w:p>
    <w:p w14:paraId="181B7DE7">
      <w:pPr>
        <w:ind w:firstLine="1401" w:firstLineChars="500"/>
        <w:jc w:val="left"/>
        <w:rPr>
          <w:rFonts w:hint="eastAsia" w:ascii="宋体" w:hAnsi="宋体" w:eastAsia="宋体" w:cs="宋体"/>
          <w:b/>
          <w:bCs/>
          <w:kern w:val="2"/>
          <w:sz w:val="28"/>
          <w:szCs w:val="28"/>
          <w:highlight w:val="none"/>
          <w:lang w:val="en-US" w:eastAsia="zh-CN" w:bidi="ar-SA"/>
        </w:rPr>
      </w:pPr>
      <w:r>
        <w:rPr>
          <w:rFonts w:hint="eastAsia" w:ascii="Arial" w:hAnsi="Arial" w:eastAsia="Arial" w:cs="宋体"/>
          <w:b/>
          <w:bCs/>
          <w:snapToGrid w:val="0"/>
          <w:color w:val="000000"/>
          <w:kern w:val="2"/>
          <w:sz w:val="28"/>
          <w:szCs w:val="28"/>
          <w:highlight w:val="none"/>
          <w:lang w:val="en-US" w:eastAsia="zh-CN" w:bidi="ar-SA"/>
        </w:rPr>
        <w:t>签订地点：</w:t>
      </w:r>
      <w:r>
        <w:rPr>
          <w:rFonts w:hint="eastAsia" w:ascii="宋体" w:hAnsi="宋体" w:eastAsia="宋体" w:cs="宋体"/>
          <w:b/>
          <w:bCs/>
          <w:snapToGrid w:val="0"/>
          <w:color w:val="000000"/>
          <w:kern w:val="2"/>
          <w:sz w:val="28"/>
          <w:szCs w:val="28"/>
          <w:highlight w:val="none"/>
          <w:u w:val="single"/>
          <w:lang w:val="en-US" w:eastAsia="zh-CN" w:bidi="ar-SA"/>
        </w:rPr>
        <w:t xml:space="preserve">西安浐灞国际港 </w:t>
      </w:r>
      <w:r>
        <w:rPr>
          <w:rFonts w:hint="eastAsia" w:ascii="宋体" w:hAnsi="宋体" w:eastAsia="宋体" w:cs="宋体"/>
          <w:b w:val="0"/>
          <w:bCs w:val="0"/>
          <w:snapToGrid w:val="0"/>
          <w:color w:val="000000"/>
          <w:kern w:val="2"/>
          <w:sz w:val="28"/>
          <w:szCs w:val="28"/>
          <w:highlight w:val="none"/>
          <w:u w:val="single"/>
          <w:lang w:val="en-US" w:eastAsia="zh-CN" w:bidi="ar-SA"/>
        </w:rPr>
        <w:t xml:space="preserve">              </w:t>
      </w:r>
      <w:r>
        <w:rPr>
          <w:rFonts w:hint="eastAsia" w:ascii="宋体" w:hAnsi="宋体" w:eastAsia="宋体" w:cs="宋体"/>
          <w:b/>
          <w:bCs/>
          <w:sz w:val="28"/>
          <w:szCs w:val="28"/>
          <w:lang w:val="en-US" w:eastAsia="zh-CN"/>
        </w:rPr>
        <w:t xml:space="preserve"> </w:t>
      </w:r>
    </w:p>
    <w:p w14:paraId="75EBC6D0">
      <w:pPr>
        <w:ind w:firstLine="1405" w:firstLineChars="500"/>
        <w:jc w:val="left"/>
        <w:rPr>
          <w:rFonts w:hint="eastAsia" w:ascii="宋体" w:hAnsi="宋体" w:eastAsia="宋体" w:cs="宋体"/>
          <w:b/>
          <w:bCs/>
          <w:kern w:val="2"/>
          <w:sz w:val="28"/>
          <w:szCs w:val="28"/>
          <w:highlight w:val="none"/>
          <w:lang w:val="en-US" w:eastAsia="zh-CN" w:bidi="ar-SA"/>
        </w:rPr>
      </w:pPr>
    </w:p>
    <w:p w14:paraId="7A34134D">
      <w:pPr>
        <w:ind w:firstLine="1405" w:firstLineChars="500"/>
        <w:jc w:val="left"/>
        <w:rPr>
          <w:rFonts w:hint="eastAsia" w:ascii="宋体" w:hAnsi="宋体" w:eastAsia="宋体" w:cs="宋体"/>
          <w:b/>
          <w:bCs/>
          <w:sz w:val="28"/>
          <w:szCs w:val="28"/>
          <w:lang w:val="en-US" w:eastAsia="zh-CN"/>
        </w:rPr>
        <w:sectPr>
          <w:footerReference r:id="rId6" w:type="first"/>
          <w:footerReference r:id="rId5" w:type="default"/>
          <w:pgSz w:w="11906" w:h="16838"/>
          <w:pgMar w:top="1440" w:right="1344" w:bottom="1440" w:left="1400" w:header="851" w:footer="992" w:gutter="0"/>
          <w:pgNumType w:fmt="numberInDash" w:start="1"/>
          <w:cols w:space="425" w:num="1"/>
          <w:titlePg/>
          <w:docGrid w:linePitch="312" w:charSpace="-3486"/>
        </w:sectPr>
      </w:pPr>
      <w:r>
        <w:rPr>
          <w:rFonts w:hint="eastAsia" w:ascii="宋体" w:hAnsi="宋体" w:eastAsia="宋体" w:cs="宋体"/>
          <w:b/>
          <w:bCs/>
          <w:kern w:val="2"/>
          <w:sz w:val="28"/>
          <w:szCs w:val="28"/>
          <w:highlight w:val="none"/>
          <w:lang w:val="en-US" w:eastAsia="zh-CN" w:bidi="ar-SA"/>
        </w:rPr>
        <w:t>签订日期：</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 xml:space="preserve">年 </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 xml:space="preserve">月 </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日</w:t>
      </w:r>
    </w:p>
    <w:p w14:paraId="07D20985">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default" w:ascii="宋体" w:hAnsi="宋体" w:eastAsia="宋体" w:cs="宋体"/>
          <w:sz w:val="21"/>
          <w:szCs w:val="21"/>
          <w:u w:val="single"/>
          <w:lang w:val="en-US"/>
        </w:rPr>
      </w:pPr>
      <w:r>
        <w:rPr>
          <w:rFonts w:hint="eastAsia" w:ascii="宋体" w:hAnsi="宋体" w:eastAsia="宋体" w:cs="宋体"/>
          <w:sz w:val="21"/>
          <w:szCs w:val="21"/>
        </w:rPr>
        <w:t>甲方：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p>
    <w:p w14:paraId="782AC4E9">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14:paraId="50F8A546">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依照《中华人民共和国民法典》及国家有关法规规定，经双方协商一致，签订本合同。</w:t>
      </w:r>
    </w:p>
    <w:p w14:paraId="60EA2160">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第一条 项目基本情况</w:t>
      </w:r>
    </w:p>
    <w:p w14:paraId="024383CA">
      <w:pPr>
        <w:keepNext w:val="0"/>
        <w:keepLines w:val="0"/>
        <w:pageBreakBefore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b/>
          <w:bCs/>
          <w:sz w:val="21"/>
          <w:szCs w:val="21"/>
          <w:highlight w:val="none"/>
          <w:lang w:val="en-US" w:eastAsia="zh-CN"/>
        </w:rPr>
      </w:pPr>
      <w:r>
        <w:rPr>
          <w:rFonts w:hint="eastAsia" w:ascii="宋体" w:hAnsi="宋体" w:eastAsia="宋体" w:cs="宋体"/>
          <w:color w:val="000000"/>
          <w:kern w:val="2"/>
          <w:sz w:val="21"/>
          <w:szCs w:val="21"/>
          <w:highlight w:val="none"/>
        </w:rPr>
        <w:t>1.1 项目名称：</w:t>
      </w:r>
      <w:r>
        <w:rPr>
          <w:rFonts w:hint="eastAsia" w:ascii="宋体" w:hAnsi="宋体" w:eastAsia="宋体" w:cs="宋体"/>
          <w:kern w:val="2"/>
          <w:sz w:val="21"/>
          <w:szCs w:val="21"/>
          <w:highlight w:val="none"/>
          <w:u w:val="single"/>
          <w:lang w:eastAsia="zh-CN"/>
        </w:rPr>
        <w:t>西安国际港务区西安国际港务区纺渭路雨水出口系统-雨水干管、调蓄池及提升泵站质量检测服务（</w:t>
      </w:r>
      <w:r>
        <w:rPr>
          <w:rFonts w:hint="eastAsia" w:ascii="宋体" w:hAnsi="宋体" w:eastAsia="宋体" w:cs="宋体"/>
          <w:kern w:val="2"/>
          <w:sz w:val="21"/>
          <w:szCs w:val="21"/>
          <w:highlight w:val="none"/>
          <w:u w:val="single"/>
          <w:lang w:val="en-US" w:eastAsia="zh-CN"/>
        </w:rPr>
        <w:t>二次</w:t>
      </w:r>
      <w:r>
        <w:rPr>
          <w:rFonts w:hint="eastAsia" w:ascii="宋体" w:hAnsi="宋体" w:eastAsia="宋体" w:cs="宋体"/>
          <w:kern w:val="2"/>
          <w:sz w:val="21"/>
          <w:szCs w:val="21"/>
          <w:highlight w:val="none"/>
          <w:u w:val="single"/>
          <w:lang w:eastAsia="zh-CN"/>
        </w:rPr>
        <w:t>）</w:t>
      </w:r>
    </w:p>
    <w:p w14:paraId="6748DE1A">
      <w:pPr>
        <w:keepNext w:val="0"/>
        <w:keepLines w:val="0"/>
        <w:pageBreakBefore w:val="0"/>
        <w:tabs>
          <w:tab w:val="left" w:pos="4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 项目概况：</w:t>
      </w:r>
      <w:bookmarkStart w:id="0" w:name="OLE_LINK9"/>
      <w:r>
        <w:rPr>
          <w:rFonts w:hint="eastAsia" w:ascii="宋体" w:hAnsi="宋体" w:eastAsia="宋体" w:cs="宋体"/>
          <w:color w:val="000000"/>
          <w:sz w:val="21"/>
          <w:szCs w:val="21"/>
          <w:highlight w:val="none"/>
        </w:rPr>
        <w:t>本工程主要包含纺渭路调蓄池及提升泵站、雨水干管等建设内容。其中，调蓄池及提升泵站占地约26.43亩，雨水干管约4.9km。</w:t>
      </w:r>
      <w:bookmarkEnd w:id="0"/>
    </w:p>
    <w:p w14:paraId="1AC27B0E">
      <w:pPr>
        <w:keepNext w:val="0"/>
        <w:keepLines w:val="0"/>
        <w:pageBreakBefore w:val="0"/>
        <w:tabs>
          <w:tab w:val="left" w:pos="420"/>
        </w:tabs>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 服务内容：包含对西安国际港务区纺渭路雨水出口系统-雨水干管、调蓄池及提升泵站工程的第三方质量检测工作。</w:t>
      </w:r>
    </w:p>
    <w:p w14:paraId="3FCE745A">
      <w:pPr>
        <w:keepNext w:val="0"/>
        <w:keepLines w:val="0"/>
        <w:pageBreakBefore w:val="0"/>
        <w:tabs>
          <w:tab w:val="left" w:pos="420"/>
        </w:tabs>
        <w:kinsoku/>
        <w:wordWrap/>
        <w:overflowPunct/>
        <w:topLinePunct w:val="0"/>
        <w:autoSpaceDE/>
        <w:autoSpaceDN/>
        <w:bidi w:val="0"/>
        <w:adjustRightInd/>
        <w:snapToGrid w:val="0"/>
        <w:spacing w:line="360" w:lineRule="auto"/>
        <w:ind w:firstLine="422" w:firstLineChars="200"/>
        <w:textAlignment w:val="auto"/>
        <w:outlineLvl w:val="9"/>
        <w:rPr>
          <w:rFonts w:hint="eastAsia" w:ascii="宋体" w:hAnsi="宋体" w:eastAsia="宋体" w:cs="宋体"/>
          <w:b/>
          <w:color w:val="000000"/>
          <w:kern w:val="2"/>
          <w:sz w:val="21"/>
          <w:szCs w:val="21"/>
        </w:rPr>
      </w:pPr>
      <w:r>
        <w:rPr>
          <w:rFonts w:hint="eastAsia" w:ascii="宋体" w:hAnsi="宋体" w:eastAsia="宋体" w:cs="宋体"/>
          <w:b/>
          <w:kern w:val="2"/>
          <w:sz w:val="21"/>
          <w:szCs w:val="21"/>
        </w:rPr>
        <w:t>第二条 主要任务与内容</w:t>
      </w:r>
    </w:p>
    <w:p w14:paraId="2257BFFE">
      <w:pPr>
        <w:keepNext w:val="0"/>
        <w:keepLines w:val="0"/>
        <w:pageBreakBefore w:val="0"/>
        <w:widowControl/>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主要</w:t>
      </w:r>
      <w:r>
        <w:rPr>
          <w:rFonts w:hint="eastAsia" w:hAnsi="宋体" w:eastAsia="宋体" w:cs="宋体"/>
          <w:color w:val="000000"/>
          <w:sz w:val="21"/>
          <w:szCs w:val="21"/>
          <w:highlight w:val="none"/>
          <w:lang w:val="en-US" w:eastAsia="zh-CN"/>
        </w:rPr>
        <w:t>包含</w:t>
      </w:r>
      <w:r>
        <w:rPr>
          <w:rFonts w:hint="eastAsia" w:ascii="宋体" w:hAnsi="宋体" w:eastAsia="宋体" w:cs="宋体"/>
          <w:color w:val="000000"/>
          <w:sz w:val="21"/>
          <w:szCs w:val="21"/>
          <w:highlight w:val="none"/>
        </w:rPr>
        <w:t>市政工程材料、道路工程、地基基础</w:t>
      </w:r>
      <w:r>
        <w:rPr>
          <w:rFonts w:hint="eastAsia" w:ascii="宋体" w:hAnsi="宋体" w:eastAsia="宋体" w:cs="宋体"/>
          <w:color w:val="000000"/>
          <w:sz w:val="21"/>
          <w:szCs w:val="21"/>
          <w:highlight w:val="none"/>
          <w:lang w:val="en-US" w:eastAsia="zh-CN"/>
        </w:rPr>
        <w:t>等</w:t>
      </w:r>
      <w:r>
        <w:rPr>
          <w:rFonts w:hint="eastAsia" w:hAnsi="宋体" w:eastAsia="宋体" w:cs="宋体"/>
          <w:color w:val="000000"/>
          <w:sz w:val="21"/>
          <w:szCs w:val="21"/>
          <w:highlight w:val="none"/>
          <w:lang w:val="en-US" w:eastAsia="zh-CN"/>
        </w:rPr>
        <w:t>的检测</w:t>
      </w:r>
      <w:r>
        <w:rPr>
          <w:rFonts w:hint="eastAsia" w:ascii="宋体" w:hAnsi="宋体" w:eastAsia="宋体" w:cs="宋体"/>
          <w:color w:val="000000"/>
          <w:sz w:val="21"/>
          <w:szCs w:val="21"/>
          <w:highlight w:val="none"/>
          <w:lang w:val="en-US" w:eastAsia="zh-CN"/>
        </w:rPr>
        <w:t>。</w:t>
      </w:r>
    </w:p>
    <w:p w14:paraId="45FC0DDD">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highlight w:val="none"/>
        </w:rPr>
      </w:pPr>
      <w:r>
        <w:rPr>
          <w:rFonts w:hint="eastAsia" w:ascii="宋体" w:hAnsi="宋体" w:eastAsia="宋体" w:cs="宋体"/>
          <w:b/>
          <w:kern w:val="2"/>
          <w:sz w:val="21"/>
          <w:szCs w:val="21"/>
          <w:highlight w:val="none"/>
        </w:rPr>
        <w:t>第三条 技术要求</w:t>
      </w:r>
    </w:p>
    <w:p w14:paraId="715A7C9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u w:val="single"/>
        </w:rPr>
      </w:pPr>
      <w:r>
        <w:rPr>
          <w:rFonts w:hint="eastAsia" w:ascii="宋体" w:hAnsi="宋体" w:eastAsia="宋体" w:cs="宋体"/>
          <w:color w:val="000000"/>
          <w:kern w:val="2"/>
          <w:sz w:val="21"/>
          <w:szCs w:val="21"/>
        </w:rPr>
        <w:t>3.1 主要技术依据：国家、省、市级相关技术依据；</w:t>
      </w:r>
    </w:p>
    <w:p w14:paraId="59129E0B">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3.2 成果及格式要求：按国家、省、市现行的技术规定执行。</w:t>
      </w:r>
    </w:p>
    <w:p w14:paraId="01C4B3F3">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第四条 项目成果</w:t>
      </w:r>
    </w:p>
    <w:p w14:paraId="2A029F7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val="en-US" w:eastAsia="zh-CN"/>
        </w:rPr>
        <w:t xml:space="preserve">4.1 </w:t>
      </w:r>
      <w:r>
        <w:rPr>
          <w:rFonts w:hint="eastAsia" w:ascii="宋体" w:hAnsi="宋体" w:eastAsia="宋体" w:cs="宋体"/>
          <w:color w:val="000000"/>
          <w:kern w:val="2"/>
          <w:sz w:val="21"/>
          <w:szCs w:val="21"/>
        </w:rPr>
        <w:t>质量检测工作必须依据各试验规程要求进行，确保检测结果真实、准确</w:t>
      </w:r>
      <w:r>
        <w:rPr>
          <w:rFonts w:hint="eastAsia" w:ascii="宋体" w:hAnsi="宋体" w:eastAsia="宋体" w:cs="宋体"/>
          <w:color w:val="000000"/>
          <w:kern w:val="2"/>
          <w:sz w:val="21"/>
          <w:szCs w:val="21"/>
          <w:lang w:eastAsia="zh-CN"/>
        </w:rPr>
        <w:t>；</w:t>
      </w:r>
    </w:p>
    <w:p w14:paraId="7B397AA8">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 xml:space="preserve">4.2 </w:t>
      </w:r>
      <w:r>
        <w:rPr>
          <w:rFonts w:hint="eastAsia" w:ascii="宋体" w:hAnsi="宋体" w:eastAsia="宋体" w:cs="宋体"/>
          <w:color w:val="000000"/>
          <w:kern w:val="2"/>
          <w:sz w:val="21"/>
          <w:szCs w:val="21"/>
        </w:rPr>
        <w:t>检测报告及结论必须做到清晰、完整、表达准确</w:t>
      </w:r>
      <w:r>
        <w:rPr>
          <w:rFonts w:hint="eastAsia" w:ascii="宋体" w:hAnsi="宋体" w:eastAsia="宋体" w:cs="宋体"/>
          <w:color w:val="000000"/>
          <w:kern w:val="2"/>
          <w:sz w:val="21"/>
          <w:szCs w:val="21"/>
          <w:lang w:eastAsia="zh-CN"/>
        </w:rPr>
        <w:t>，</w:t>
      </w:r>
      <w:r>
        <w:rPr>
          <w:rFonts w:hint="eastAsia" w:ascii="宋体" w:hAnsi="宋体" w:eastAsia="宋体" w:cs="宋体"/>
          <w:color w:val="000000"/>
          <w:kern w:val="2"/>
          <w:sz w:val="21"/>
          <w:szCs w:val="21"/>
          <w:lang w:val="en-US" w:eastAsia="zh-CN"/>
        </w:rPr>
        <w:t>签章齐全</w:t>
      </w:r>
      <w:r>
        <w:rPr>
          <w:rFonts w:hint="eastAsia" w:ascii="宋体" w:hAnsi="宋体" w:eastAsia="宋体" w:cs="宋体"/>
          <w:color w:val="000000"/>
          <w:kern w:val="2"/>
          <w:sz w:val="21"/>
          <w:szCs w:val="21"/>
          <w:lang w:eastAsia="zh-CN"/>
        </w:rPr>
        <w:t>；</w:t>
      </w:r>
    </w:p>
    <w:p w14:paraId="198ADC0B">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rPr>
        <w:t>4.</w:t>
      </w:r>
      <w:r>
        <w:rPr>
          <w:rFonts w:hint="eastAsia" w:ascii="宋体" w:hAnsi="宋体" w:eastAsia="宋体" w:cs="宋体"/>
          <w:color w:val="000000"/>
          <w:kern w:val="2"/>
          <w:sz w:val="21"/>
          <w:szCs w:val="21"/>
          <w:lang w:val="en-US" w:eastAsia="zh-CN"/>
        </w:rPr>
        <w:t>3</w:t>
      </w:r>
      <w:r>
        <w:rPr>
          <w:rFonts w:hint="eastAsia" w:ascii="宋体" w:hAnsi="宋体" w:eastAsia="宋体" w:cs="宋体"/>
          <w:color w:val="000000"/>
          <w:kern w:val="2"/>
          <w:sz w:val="21"/>
          <w:szCs w:val="21"/>
        </w:rPr>
        <w:t xml:space="preserve"> </w:t>
      </w:r>
      <w:r>
        <w:rPr>
          <w:rFonts w:hint="eastAsia" w:ascii="宋体" w:hAnsi="宋体" w:eastAsia="宋体" w:cs="宋体"/>
          <w:sz w:val="21"/>
          <w:szCs w:val="21"/>
        </w:rPr>
        <w:t>成果清单文件提供份数：</w:t>
      </w:r>
      <w:r>
        <w:rPr>
          <w:rFonts w:hint="eastAsia" w:ascii="宋体" w:hAnsi="宋体" w:eastAsia="宋体" w:cs="宋体"/>
          <w:sz w:val="21"/>
          <w:szCs w:val="21"/>
          <w:u w:val="single"/>
        </w:rPr>
        <w:t>纸质版4份、电子版1份</w:t>
      </w:r>
      <w:r>
        <w:rPr>
          <w:rFonts w:hint="eastAsia" w:ascii="宋体" w:hAnsi="宋体" w:eastAsia="宋体" w:cs="宋体"/>
          <w:sz w:val="21"/>
          <w:szCs w:val="21"/>
          <w:lang w:eastAsia="zh-CN"/>
        </w:rPr>
        <w:t>；</w:t>
      </w:r>
    </w:p>
    <w:p w14:paraId="697DFA3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4.</w:t>
      </w:r>
      <w:r>
        <w:rPr>
          <w:rFonts w:hint="eastAsia" w:ascii="宋体" w:hAnsi="宋体" w:eastAsia="宋体" w:cs="宋体"/>
          <w:color w:val="000000"/>
          <w:kern w:val="2"/>
          <w:sz w:val="21"/>
          <w:szCs w:val="21"/>
          <w:lang w:val="en-US" w:eastAsia="zh-CN"/>
        </w:rPr>
        <w:t>4</w:t>
      </w:r>
      <w:r>
        <w:rPr>
          <w:rFonts w:hint="eastAsia" w:ascii="宋体" w:hAnsi="宋体" w:eastAsia="宋体" w:cs="宋体"/>
          <w:color w:val="000000"/>
          <w:kern w:val="2"/>
          <w:sz w:val="21"/>
          <w:szCs w:val="21"/>
        </w:rPr>
        <w:t xml:space="preserve"> 乙方向甲方交付约定的成果。甲方如需增加成果数量，增加服务费用由双方书面协商解决；</w:t>
      </w:r>
    </w:p>
    <w:p w14:paraId="332464D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4.</w:t>
      </w:r>
      <w:r>
        <w:rPr>
          <w:rFonts w:hint="eastAsia" w:ascii="宋体" w:hAnsi="宋体" w:eastAsia="宋体" w:cs="宋体"/>
          <w:color w:val="000000"/>
          <w:kern w:val="2"/>
          <w:sz w:val="21"/>
          <w:szCs w:val="21"/>
          <w:lang w:val="en-US" w:eastAsia="zh-CN"/>
        </w:rPr>
        <w:t>5</w:t>
      </w:r>
      <w:r>
        <w:rPr>
          <w:rFonts w:hint="eastAsia" w:ascii="宋体" w:hAnsi="宋体" w:eastAsia="宋体" w:cs="宋体"/>
          <w:color w:val="000000"/>
          <w:kern w:val="2"/>
          <w:sz w:val="21"/>
          <w:szCs w:val="21"/>
        </w:rPr>
        <w:t xml:space="preserve"> 各阶段成果数量根据项目汇报交流与审查需要，本着节约实用的原则确定；</w:t>
      </w:r>
    </w:p>
    <w:p w14:paraId="510645F5">
      <w:pPr>
        <w:keepNext w:val="0"/>
        <w:keepLines w:val="0"/>
        <w:pageBreakBefore w:val="0"/>
        <w:numPr>
          <w:ilvl w:val="1"/>
          <w:numId w:val="0"/>
        </w:numPr>
        <w:kinsoku/>
        <w:wordWrap/>
        <w:overflowPunct/>
        <w:topLinePunct w:val="0"/>
        <w:autoSpaceDE/>
        <w:autoSpaceDN/>
        <w:bidi w:val="0"/>
        <w:adjustRightInd/>
        <w:snapToGrid w:val="0"/>
        <w:spacing w:line="360" w:lineRule="auto"/>
        <w:ind w:firstLine="420" w:firstLineChars="200"/>
        <w:contextualSpacing/>
        <w:jc w:val="left"/>
        <w:textAlignment w:val="auto"/>
        <w:rPr>
          <w:rFonts w:hint="eastAsia" w:ascii="宋体" w:hAnsi="宋体" w:eastAsia="宋体" w:cs="宋体"/>
          <w:kern w:val="2"/>
          <w:sz w:val="21"/>
          <w:szCs w:val="21"/>
          <w:highlight w:val="none"/>
        </w:rPr>
      </w:pPr>
      <w:r>
        <w:rPr>
          <w:rFonts w:hint="eastAsia" w:ascii="宋体" w:hAnsi="宋体" w:eastAsia="宋体" w:cs="宋体"/>
          <w:color w:val="000000"/>
          <w:kern w:val="2"/>
          <w:sz w:val="21"/>
          <w:szCs w:val="21"/>
          <w:highlight w:val="none"/>
        </w:rPr>
        <w:t>4.</w:t>
      </w:r>
      <w:r>
        <w:rPr>
          <w:rFonts w:hint="eastAsia" w:ascii="宋体" w:hAnsi="宋体" w:eastAsia="宋体" w:cs="宋体"/>
          <w:color w:val="000000"/>
          <w:kern w:val="2"/>
          <w:sz w:val="21"/>
          <w:szCs w:val="21"/>
          <w:highlight w:val="none"/>
          <w:lang w:val="en-US" w:eastAsia="zh-CN"/>
        </w:rPr>
        <w:t>6</w:t>
      </w:r>
      <w:r>
        <w:rPr>
          <w:rFonts w:hint="eastAsia" w:ascii="宋体" w:hAnsi="宋体" w:eastAsia="宋体" w:cs="宋体"/>
          <w:color w:val="000000"/>
          <w:kern w:val="2"/>
          <w:sz w:val="21"/>
          <w:szCs w:val="21"/>
          <w:highlight w:val="none"/>
        </w:rPr>
        <w:t xml:space="preserve"> 成果需通过相关部门审核。</w:t>
      </w:r>
    </w:p>
    <w:p w14:paraId="3BB9A7E5">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highlight w:val="none"/>
          <w:lang w:eastAsia="zh-CN"/>
        </w:rPr>
      </w:pPr>
      <w:r>
        <w:rPr>
          <w:rFonts w:hint="eastAsia" w:ascii="宋体" w:hAnsi="宋体" w:eastAsia="宋体" w:cs="宋体"/>
          <w:b/>
          <w:kern w:val="2"/>
          <w:sz w:val="21"/>
          <w:szCs w:val="21"/>
          <w:highlight w:val="none"/>
        </w:rPr>
        <w:t xml:space="preserve">第五条 </w:t>
      </w:r>
      <w:r>
        <w:rPr>
          <w:rFonts w:hint="eastAsia" w:ascii="宋体" w:hAnsi="宋体" w:eastAsia="宋体" w:cs="宋体"/>
          <w:b/>
          <w:kern w:val="2"/>
          <w:sz w:val="21"/>
          <w:szCs w:val="21"/>
          <w:highlight w:val="none"/>
          <w:lang w:val="en-US" w:eastAsia="zh-CN"/>
        </w:rPr>
        <w:t>服务期</w:t>
      </w:r>
    </w:p>
    <w:p w14:paraId="21868C4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highlight w:val="none"/>
        </w:rPr>
        <w:t>5.1 总日历天数：</w:t>
      </w:r>
      <w:r>
        <w:rPr>
          <w:rFonts w:hint="eastAsia" w:ascii="宋体" w:hAnsi="宋体" w:eastAsia="宋体" w:cs="宋体"/>
          <w:sz w:val="21"/>
          <w:szCs w:val="21"/>
          <w:highlight w:val="none"/>
          <w:u w:val="single"/>
        </w:rPr>
        <w:t>现场</w:t>
      </w:r>
      <w:r>
        <w:rPr>
          <w:rFonts w:hint="eastAsia" w:ascii="宋体" w:hAnsi="宋体" w:eastAsia="宋体" w:cs="宋体"/>
          <w:sz w:val="21"/>
          <w:szCs w:val="21"/>
          <w:highlight w:val="none"/>
          <w:u w:val="single"/>
          <w:lang w:val="en-US" w:eastAsia="zh-CN"/>
        </w:rPr>
        <w:t>服务</w:t>
      </w:r>
      <w:r>
        <w:rPr>
          <w:rFonts w:hint="eastAsia" w:hAnsi="宋体" w:eastAsia="宋体" w:cs="宋体"/>
          <w:sz w:val="21"/>
          <w:szCs w:val="21"/>
          <w:highlight w:val="none"/>
          <w:u w:val="single"/>
          <w:lang w:val="en-US" w:eastAsia="zh-CN"/>
        </w:rPr>
        <w:t>全部</w:t>
      </w:r>
      <w:r>
        <w:rPr>
          <w:rFonts w:hint="eastAsia" w:ascii="宋体" w:hAnsi="宋体" w:eastAsia="宋体" w:cs="宋体"/>
          <w:sz w:val="21"/>
          <w:szCs w:val="21"/>
          <w:highlight w:val="none"/>
          <w:u w:val="single"/>
        </w:rPr>
        <w:t>完成并达到检测条件后30个</w:t>
      </w:r>
      <w:r>
        <w:rPr>
          <w:rFonts w:hint="eastAsia" w:ascii="宋体" w:hAnsi="宋体" w:eastAsia="宋体" w:cs="宋体"/>
          <w:sz w:val="21"/>
          <w:szCs w:val="21"/>
          <w:highlight w:val="none"/>
        </w:rPr>
        <w:t>日历天（具体开工时间以甲方通知为准）</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t>乙方应在该期限届满前向甲方提交该项目报告的编制、汇报、审查工作。最终成果审查若有改动，乙方应无条件配合甲方要求进行</w:t>
      </w:r>
      <w:r>
        <w:rPr>
          <w:rFonts w:hint="eastAsia" w:ascii="宋体" w:hAnsi="宋体" w:eastAsia="宋体" w:cs="宋体"/>
          <w:sz w:val="21"/>
          <w:szCs w:val="21"/>
        </w:rPr>
        <w:t>修改、完善；</w:t>
      </w:r>
    </w:p>
    <w:p w14:paraId="5D8522C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sz w:val="21"/>
          <w:szCs w:val="21"/>
        </w:rPr>
        <w:t>5.2 如双方认为有必要，经协商一致，可通过书面方式对中间过程的期限要求进行调整，并将最终成果提交日期做相应调整，且合同款项不因此而发生上涨。</w:t>
      </w:r>
    </w:p>
    <w:p w14:paraId="7652AFBE">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第六条 合同价款</w:t>
      </w:r>
    </w:p>
    <w:p w14:paraId="65133CC2">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lang w:eastAsia="zh-CN"/>
        </w:rPr>
      </w:pPr>
      <w:r>
        <w:rPr>
          <w:rFonts w:hint="eastAsia" w:ascii="宋体" w:hAnsi="宋体" w:eastAsia="宋体" w:cs="宋体"/>
          <w:kern w:val="2"/>
          <w:sz w:val="21"/>
          <w:szCs w:val="21"/>
        </w:rPr>
        <w:t>6.1 合同暂定总价款：人民币（大写）</w:t>
      </w:r>
      <w:r>
        <w:rPr>
          <w:rFonts w:hint="eastAsia" w:hAnsi="宋体" w:eastAsia="宋体" w:cs="宋体"/>
          <w:kern w:val="2"/>
          <w:sz w:val="21"/>
          <w:szCs w:val="21"/>
          <w:u w:val="single"/>
          <w:lang w:val="en-US" w:eastAsia="zh-CN"/>
        </w:rPr>
        <w:t xml:space="preserve">                        </w:t>
      </w:r>
      <w:r>
        <w:rPr>
          <w:rFonts w:hint="eastAsia" w:ascii="宋体" w:hAnsi="宋体" w:eastAsia="宋体" w:cs="宋体"/>
          <w:kern w:val="2"/>
          <w:sz w:val="21"/>
          <w:szCs w:val="21"/>
        </w:rPr>
        <w:t>(¥</w:t>
      </w:r>
      <w:r>
        <w:rPr>
          <w:rFonts w:hint="eastAsia" w:hAnsi="宋体" w:eastAsia="宋体" w:cs="宋体"/>
          <w:kern w:val="2"/>
          <w:sz w:val="21"/>
          <w:szCs w:val="21"/>
          <w:u w:val="single"/>
          <w:lang w:val="en-US" w:eastAsia="zh-CN"/>
        </w:rPr>
        <w:t xml:space="preserve">             </w:t>
      </w:r>
      <w:r>
        <w:rPr>
          <w:rFonts w:hint="eastAsia" w:ascii="宋体" w:hAnsi="宋体" w:eastAsia="宋体" w:cs="宋体"/>
          <w:kern w:val="2"/>
          <w:sz w:val="21"/>
          <w:szCs w:val="21"/>
        </w:rPr>
        <w:t>)</w:t>
      </w:r>
      <w:r>
        <w:rPr>
          <w:rFonts w:hint="eastAsia" w:hAnsi="宋体" w:eastAsia="宋体" w:cs="宋体"/>
          <w:kern w:val="2"/>
          <w:sz w:val="21"/>
          <w:szCs w:val="21"/>
          <w:lang w:eastAsia="zh-CN"/>
        </w:rPr>
        <w:t>。</w:t>
      </w:r>
    </w:p>
    <w:p w14:paraId="6A2F46B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highlight w:val="none"/>
          <w:lang w:val="en-US" w:eastAsia="zh-CN"/>
        </w:rPr>
      </w:pPr>
      <w:r>
        <w:rPr>
          <w:rFonts w:hint="eastAsia" w:ascii="宋体" w:hAnsi="宋体" w:eastAsia="宋体" w:cs="宋体"/>
          <w:kern w:val="2"/>
          <w:sz w:val="21"/>
          <w:szCs w:val="21"/>
          <w:highlight w:val="none"/>
        </w:rPr>
        <w:t>6.2 本合同采取固定单价并以实际发生量计算总费用的结算方式，合同中单价不受市场价格变化因素的影响。</w:t>
      </w:r>
    </w:p>
    <w:p w14:paraId="1011B119">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kern w:val="2"/>
          <w:sz w:val="21"/>
          <w:szCs w:val="21"/>
        </w:rPr>
        <w:t xml:space="preserve">6.3 </w:t>
      </w:r>
      <w:bookmarkStart w:id="1" w:name="OLE_LINK18"/>
      <w:r>
        <w:rPr>
          <w:rFonts w:hint="eastAsia" w:ascii="宋体" w:hAnsi="宋体" w:eastAsia="宋体" w:cs="宋体"/>
          <w:kern w:val="2"/>
          <w:sz w:val="21"/>
          <w:szCs w:val="21"/>
        </w:rPr>
        <w:t>合同总价是指乙方为完成本次服务工作所需的全部费用，包括但不限于成果编制费、交通费、住宿费、办公费、管理费、人工费、税金等其他一切相关费用</w:t>
      </w:r>
      <w:bookmarkEnd w:id="1"/>
      <w:r>
        <w:rPr>
          <w:rFonts w:hint="eastAsia" w:ascii="宋体" w:hAnsi="宋体" w:eastAsia="宋体" w:cs="宋体"/>
          <w:kern w:val="2"/>
          <w:sz w:val="21"/>
          <w:szCs w:val="21"/>
        </w:rPr>
        <w:t>。</w:t>
      </w:r>
    </w:p>
    <w:p w14:paraId="37C1291A">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第七条 付款方式</w:t>
      </w:r>
    </w:p>
    <w:p w14:paraId="26ABA07C">
      <w:pPr>
        <w:adjustRightInd/>
        <w:snapToGrid/>
        <w:spacing w:line="360" w:lineRule="auto"/>
        <w:ind w:firstLine="420" w:firstLineChars="200"/>
        <w:rPr>
          <w:rFonts w:hint="default"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rPr>
        <w:t xml:space="preserve">7.1 </w:t>
      </w:r>
      <w:r>
        <w:rPr>
          <w:rFonts w:hint="eastAsia" w:ascii="宋体" w:hAnsi="宋体" w:eastAsia="宋体" w:cs="宋体"/>
          <w:color w:val="auto"/>
          <w:kern w:val="0"/>
          <w:sz w:val="21"/>
          <w:szCs w:val="21"/>
          <w:highlight w:val="none"/>
          <w:lang w:val="en-US" w:eastAsia="zh-CN"/>
        </w:rPr>
        <w:t xml:space="preserve">乙方按照甲方要求完成报告编制工作，并提交给甲方进行审核。甲方依据合同单价以及经审核的实际检测数量进行据实结算后予以支付。 </w:t>
      </w:r>
    </w:p>
    <w:p w14:paraId="348249F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7.2 支付方式：银行转账；</w:t>
      </w:r>
    </w:p>
    <w:p w14:paraId="2E71F4B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highlight w:val="none"/>
        </w:rPr>
        <w:t>7.3 乙</w:t>
      </w:r>
      <w:r>
        <w:rPr>
          <w:rFonts w:hint="eastAsia" w:ascii="宋体" w:hAnsi="宋体" w:eastAsia="宋体" w:cs="宋体"/>
          <w:color w:val="000000"/>
          <w:kern w:val="2"/>
          <w:sz w:val="21"/>
          <w:szCs w:val="21"/>
        </w:rPr>
        <w:t>方收款账户信息：</w:t>
      </w:r>
    </w:p>
    <w:p w14:paraId="6CF73377">
      <w:pPr>
        <w:keepNext w:val="0"/>
        <w:keepLines w:val="0"/>
        <w:pageBreakBefore w:val="0"/>
        <w:tabs>
          <w:tab w:val="left" w:pos="8280"/>
        </w:tabs>
        <w:kinsoku/>
        <w:wordWrap/>
        <w:overflowPunct/>
        <w:topLinePunct w:val="0"/>
        <w:autoSpaceDE/>
        <w:autoSpaceDN/>
        <w:bidi w:val="0"/>
        <w:adjustRightInd/>
        <w:snapToGrid w:val="0"/>
        <w:spacing w:line="360" w:lineRule="auto"/>
        <w:ind w:firstLine="840" w:firstLineChars="400"/>
        <w:jc w:val="left"/>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户  名：</w:t>
      </w:r>
      <w:r>
        <w:rPr>
          <w:rFonts w:hint="eastAsia" w:ascii="宋体" w:hAnsi="宋体" w:eastAsia="宋体" w:cs="宋体"/>
          <w:color w:val="000000"/>
          <w:kern w:val="2"/>
          <w:sz w:val="21"/>
          <w:szCs w:val="21"/>
          <w:u w:val="single"/>
        </w:rPr>
        <w:t xml:space="preserve">                             </w:t>
      </w:r>
    </w:p>
    <w:p w14:paraId="789CC5F7">
      <w:pPr>
        <w:keepNext w:val="0"/>
        <w:keepLines w:val="0"/>
        <w:pageBreakBefore w:val="0"/>
        <w:tabs>
          <w:tab w:val="left" w:pos="8280"/>
        </w:tabs>
        <w:kinsoku/>
        <w:wordWrap/>
        <w:overflowPunct/>
        <w:topLinePunct w:val="0"/>
        <w:autoSpaceDE/>
        <w:autoSpaceDN/>
        <w:bidi w:val="0"/>
        <w:adjustRightInd/>
        <w:snapToGrid w:val="0"/>
        <w:spacing w:line="360" w:lineRule="auto"/>
        <w:ind w:firstLine="840" w:firstLineChars="400"/>
        <w:jc w:val="left"/>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开户行：</w:t>
      </w:r>
      <w:r>
        <w:rPr>
          <w:rFonts w:hint="eastAsia" w:ascii="宋体" w:hAnsi="宋体" w:eastAsia="宋体" w:cs="宋体"/>
          <w:color w:val="000000"/>
          <w:kern w:val="2"/>
          <w:sz w:val="21"/>
          <w:szCs w:val="21"/>
          <w:u w:val="single"/>
        </w:rPr>
        <w:t xml:space="preserve">                             </w:t>
      </w:r>
    </w:p>
    <w:p w14:paraId="2E89BC27">
      <w:pPr>
        <w:keepNext w:val="0"/>
        <w:keepLines w:val="0"/>
        <w:pageBreakBefore w:val="0"/>
        <w:kinsoku/>
        <w:wordWrap/>
        <w:overflowPunct/>
        <w:topLinePunct w:val="0"/>
        <w:autoSpaceDE/>
        <w:autoSpaceDN/>
        <w:bidi w:val="0"/>
        <w:adjustRightInd/>
        <w:snapToGrid w:val="0"/>
        <w:spacing w:line="360" w:lineRule="auto"/>
        <w:ind w:firstLine="840" w:firstLineChars="4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账  号：</w:t>
      </w:r>
      <w:r>
        <w:rPr>
          <w:rFonts w:hint="eastAsia" w:ascii="宋体" w:hAnsi="宋体" w:eastAsia="宋体" w:cs="宋体"/>
          <w:color w:val="000000"/>
          <w:kern w:val="2"/>
          <w:sz w:val="21"/>
          <w:szCs w:val="21"/>
          <w:u w:val="single"/>
        </w:rPr>
        <w:t xml:space="preserve">                         </w:t>
      </w:r>
      <w:r>
        <w:rPr>
          <w:rFonts w:hint="eastAsia" w:ascii="宋体" w:hAnsi="宋体" w:eastAsia="宋体" w:cs="宋体"/>
          <w:color w:val="000000"/>
          <w:kern w:val="2"/>
          <w:sz w:val="21"/>
          <w:szCs w:val="21"/>
          <w:u w:val="single"/>
          <w:lang w:val="en-US" w:eastAsia="zh-CN"/>
        </w:rPr>
        <w:t xml:space="preserve"> </w:t>
      </w:r>
      <w:r>
        <w:rPr>
          <w:rFonts w:hint="eastAsia" w:ascii="宋体" w:hAnsi="宋体" w:eastAsia="宋体" w:cs="宋体"/>
          <w:color w:val="000000"/>
          <w:kern w:val="2"/>
          <w:sz w:val="21"/>
          <w:szCs w:val="21"/>
          <w:u w:val="single"/>
        </w:rPr>
        <w:t xml:space="preserve">   </w:t>
      </w:r>
    </w:p>
    <w:p w14:paraId="08EC6946">
      <w:pPr>
        <w:keepNext w:val="0"/>
        <w:keepLines w:val="0"/>
        <w:pageBreakBefore w:val="0"/>
        <w:kinsoku/>
        <w:wordWrap/>
        <w:overflowPunct/>
        <w:topLinePunct w:val="0"/>
        <w:autoSpaceDE/>
        <w:autoSpaceDN/>
        <w:bidi w:val="0"/>
        <w:adjustRightInd/>
        <w:snapToGrid w:val="0"/>
        <w:spacing w:line="360" w:lineRule="auto"/>
        <w:ind w:firstLine="539" w:firstLineChars="257"/>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7.4 甲方付款前，乙方应按规定开具合法合规的符合甲方要求的增值税专用发票，否则甲方有权拒绝付款并不承担任何违约责任。甲方应当保证向乙方提供甲方真实、有效的开票信息，若甲方提供其他公司开票信息要求开票，乙方有权拒绝。</w:t>
      </w:r>
    </w:p>
    <w:p w14:paraId="53530A3C">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color w:val="000000"/>
          <w:kern w:val="2"/>
          <w:sz w:val="21"/>
          <w:szCs w:val="21"/>
        </w:rPr>
      </w:pPr>
      <w:r>
        <w:rPr>
          <w:rFonts w:hint="eastAsia" w:ascii="宋体" w:hAnsi="宋体" w:eastAsia="宋体" w:cs="宋体"/>
          <w:b/>
          <w:kern w:val="2"/>
          <w:sz w:val="21"/>
          <w:szCs w:val="21"/>
        </w:rPr>
        <w:t>第八条 汇报与审查</w:t>
      </w:r>
    </w:p>
    <w:p w14:paraId="35914D85">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kern w:val="2"/>
          <w:sz w:val="21"/>
          <w:szCs w:val="21"/>
        </w:rPr>
        <w:t>8.1 甲方应及时组织成果的汇报、审查工作，将各阶段审查、征询的正式书面修改意见提交给乙方，乙方须按甲方书面意见进行修改。</w:t>
      </w:r>
    </w:p>
    <w:p w14:paraId="7BDCDE6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kern w:val="2"/>
          <w:sz w:val="21"/>
          <w:szCs w:val="21"/>
        </w:rPr>
        <w:t>8.2 乙方应协助甲方组织、举办本选址论证报告成果的公众展示和评审，负责解答相应的技术等问题。</w:t>
      </w:r>
    </w:p>
    <w:p w14:paraId="539F929E">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第九条 双方权利与义务</w:t>
      </w:r>
    </w:p>
    <w:p w14:paraId="6ADA4C28">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9.1 甲方权利与义务</w:t>
      </w:r>
    </w:p>
    <w:p w14:paraId="6630804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（1）批准或认可乙方的检测工作计划，开具本合同工作所需的证明文件，以便于该单位开展工作；</w:t>
      </w:r>
    </w:p>
    <w:p w14:paraId="0A03ED7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（2）提供检测工作开展所必须的经批准的技术资料、技术要求、施工图等资料；</w:t>
      </w:r>
    </w:p>
    <w:p w14:paraId="3D7DA7B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（3）甲方对工期、质量、人员、设备、仪器、检测过程和服务进行监督检查，对不符合技术要求的工作，有权要求乙方自费进行返工；</w:t>
      </w:r>
    </w:p>
    <w:p w14:paraId="7B968CA3">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（4）有权根据设计、施工的需要调整工作内容和工作计划，乙方不得对此有异议，因此而发生的费用按合同规定确定；</w:t>
      </w:r>
    </w:p>
    <w:p w14:paraId="28630DED">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（5）负责工程建设外部关系的协调，负责为检测工作提供外部条件；甲方应督促施工单位或监理单位按要求填写好相应的委托单和提供必要的信息资料； </w:t>
      </w:r>
    </w:p>
    <w:p w14:paraId="7BE3F6EE">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（6）在约定的时间内就乙方书面提交并要求做出决定的事宜做出书面决定； </w:t>
      </w:r>
    </w:p>
    <w:p w14:paraId="2FB0AFA9">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（7）经甲方进行业务测验和工作考核，对乙方不称职或严重失职的检测人员，甲方有权要求限期更换； </w:t>
      </w:r>
    </w:p>
    <w:p w14:paraId="127FA58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（8）甲方有权否定任何在本工程中检测工程师做出损害甲方利益的决定和行为，并有权向检测工程师索赔或追究法律责任； </w:t>
      </w:r>
    </w:p>
    <w:p w14:paraId="48918C1A">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 xml:space="preserve">（9）如乙方随意更换检测人员，或不能有效地履行合同职责，或严重违反国家有关法规，甲方有权终止本协议，并追究由此造成的一切损失； </w:t>
      </w:r>
    </w:p>
    <w:p w14:paraId="494848EC">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9.2 乙方</w:t>
      </w:r>
      <w:r>
        <w:rPr>
          <w:rFonts w:hint="eastAsia" w:hAnsi="宋体" w:eastAsia="宋体" w:cs="宋体"/>
          <w:color w:val="000000"/>
          <w:kern w:val="2"/>
          <w:sz w:val="21"/>
          <w:szCs w:val="21"/>
          <w:lang w:val="en-US" w:eastAsia="zh-CN"/>
        </w:rPr>
        <w:t>权利与</w:t>
      </w:r>
      <w:r>
        <w:rPr>
          <w:rFonts w:hint="eastAsia" w:ascii="宋体" w:hAnsi="宋体" w:eastAsia="宋体" w:cs="宋体"/>
          <w:color w:val="000000"/>
          <w:kern w:val="2"/>
          <w:sz w:val="21"/>
          <w:szCs w:val="21"/>
        </w:rPr>
        <w:t>责任</w:t>
      </w:r>
    </w:p>
    <w:p w14:paraId="71CA8FF6">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（1）乙方应按合同履行与项目有关的检测服务； </w:t>
      </w:r>
    </w:p>
    <w:p w14:paraId="4BE6091E">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（2） 按国家现行的标准、规范、规程，以及技术要求等开展检测工作，乙方应独立地实施检测，承担检测操作等工作；</w:t>
      </w:r>
    </w:p>
    <w:p w14:paraId="6DD819C0">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（3）检测工作量以检测报告为准，对于超出规范规定要求的工作量的增减，乙方应取得甲方的书面批准，方可实施检测； </w:t>
      </w:r>
    </w:p>
    <w:p w14:paraId="2346BA4D">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（4）乙方应接受甲方的管理，并接受甲方对工期、质量、人员资格、设备、仪器和检测过程的监督； </w:t>
      </w:r>
    </w:p>
    <w:p w14:paraId="463059B6">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（5）检测的质量及赔偿 </w:t>
      </w:r>
    </w:p>
    <w:p w14:paraId="6BC5CEB9">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630" w:firstLineChars="3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1）对检测的质量和数据的准确性负完全责任,如果因乙方过失或服务水平低下、检测数据错误而造成工程经济损失，甲方有权要求乙方赔偿； </w:t>
      </w:r>
    </w:p>
    <w:p w14:paraId="3A399BB0">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630" w:firstLineChars="3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2）由于乙方原因造成的扩大检测，由乙方自行承担全部责任并不得向甲方收取费用； </w:t>
      </w:r>
    </w:p>
    <w:p w14:paraId="14E6BE74">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630" w:firstLineChars="3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3）如因对乙方出具的检测结论多方存有异议，须聘请第三方检测单位进行鉴定检测时，以鉴定检测的结论为准，若因乙方过失造成的检测错误，乙方需负责第三方鉴定检测费用及工程经济损失；</w:t>
      </w:r>
    </w:p>
    <w:p w14:paraId="632F714E">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（6）乙方承担的本合同任务，不得分包给第三方，经甲方同意的除外； </w:t>
      </w:r>
    </w:p>
    <w:p w14:paraId="6A268DC5">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（7） 配合工程设计和施工的需要,提供技术服务； </w:t>
      </w:r>
    </w:p>
    <w:p w14:paraId="65C8C281">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（8）乙方应保证提供真实可靠的检测资料；</w:t>
      </w:r>
    </w:p>
    <w:p w14:paraId="42AD756C">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（9）乙方应该收取经监理见证员见证的试样，不得委托承包商或其他无关人员送样； </w:t>
      </w:r>
    </w:p>
    <w:p w14:paraId="4359B01A">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10）甲方有权以书面形式要求乙方更换不能按照检测合同的规定履行检测合同的试验检测人员，对违反检测合同对甲方或工程造成损失或不良影响的检测人员，甲方有权对其进行警告、通报批评、罚款、直到清退；对触犯法律的，将依法追究其法律责任； </w:t>
      </w:r>
    </w:p>
    <w:p w14:paraId="4AE6922C">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（11） 即使是甲方要求或同意更换的检测人员，其代替的检测人员的资质仍应得到甲方的认可； </w:t>
      </w:r>
    </w:p>
    <w:p w14:paraId="50936198">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（12）乙方还应保证工程收尾、工程整改、工程结算缺陷责任期可能发生的检测工作； </w:t>
      </w:r>
    </w:p>
    <w:p w14:paraId="7935F1A5">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（13）对甲方支付的检测费用，乙方应按照国家法律缴纳有关税款； </w:t>
      </w:r>
    </w:p>
    <w:p w14:paraId="5073F767">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Times New Roman" w:hAnsi="Times New Roman" w:eastAsia="宋体" w:cs="宋体"/>
          <w:color w:val="000000"/>
          <w:kern w:val="0"/>
          <w:sz w:val="21"/>
          <w:szCs w:val="21"/>
          <w:highlight w:val="none"/>
          <w:lang w:val="en-US" w:eastAsia="zh-CN" w:bidi="ar-SA"/>
        </w:rPr>
      </w:pPr>
      <w:r>
        <w:rPr>
          <w:rFonts w:hint="eastAsia" w:ascii="Times New Roman" w:hAnsi="Times New Roman" w:eastAsia="宋体" w:cs="宋体"/>
          <w:color w:val="000000"/>
          <w:kern w:val="0"/>
          <w:sz w:val="21"/>
          <w:szCs w:val="21"/>
          <w:highlight w:val="none"/>
          <w:lang w:val="en-US" w:eastAsia="zh-CN" w:bidi="ar-SA"/>
        </w:rPr>
        <w:t xml:space="preserve">（14）乙方应对检测过程中检测人员的人身安全负全部责任； </w:t>
      </w:r>
    </w:p>
    <w:p w14:paraId="37013CCB">
      <w:pPr>
        <w:keepNext w:val="0"/>
        <w:keepLines w:val="0"/>
        <w:pageBreakBefore w:val="0"/>
        <w:widowControl w:val="0"/>
        <w:kinsoku/>
        <w:wordWrap/>
        <w:overflowPunct/>
        <w:topLinePunct w:val="0"/>
        <w:autoSpaceDE/>
        <w:autoSpaceDN/>
        <w:bidi w:val="0"/>
        <w:adjustRightInd w:val="0"/>
        <w:snapToGrid w:val="0"/>
        <w:spacing w:after="0" w:line="360" w:lineRule="auto"/>
        <w:ind w:leftChars="0" w:firstLine="420" w:firstLineChars="200"/>
        <w:textAlignment w:val="auto"/>
        <w:rPr>
          <w:rFonts w:hint="eastAsia" w:ascii="宋体" w:hAnsi="宋体" w:eastAsia="宋体" w:cs="宋体"/>
          <w:kern w:val="2"/>
          <w:sz w:val="21"/>
          <w:szCs w:val="21"/>
        </w:rPr>
      </w:pPr>
      <w:r>
        <w:rPr>
          <w:rFonts w:hint="eastAsia" w:ascii="Times New Roman" w:hAnsi="Times New Roman" w:eastAsia="宋体" w:cs="宋体"/>
          <w:color w:val="000000"/>
          <w:kern w:val="0"/>
          <w:sz w:val="21"/>
          <w:szCs w:val="21"/>
          <w:highlight w:val="none"/>
          <w:lang w:val="en-US" w:eastAsia="zh-CN" w:bidi="ar-SA"/>
        </w:rPr>
        <w:t>（15）检测工作需按甲方要求24小时内进行检测,并在相应规定的时间和甲方指定的时间内保质保量完成，不能影响工程其他工序的实施。若不能按相应规定的时间和甲方要求的时间进行检测的，则每违约一次扣罚3000元。在完成检测后的3天内（经甲方许可7天内）提交正式检测报告。对于不合格的结果，应立刻通知甲方和监理，并在24小时内将检测结果以书面形式报送监理和甲方。乙方对所提交的报告及技术数据负责，提交的检测试验报告应具有法定效力，符合工程验收要求。</w:t>
      </w:r>
    </w:p>
    <w:p w14:paraId="3AF1C9FE">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第十条 保密条款</w:t>
      </w:r>
    </w:p>
    <w:p w14:paraId="38F77CA9">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10.1 未经甲方同意，乙方不得向第三方扩散、转让甲方提供的资料、图纸文件等。如发生以上情况，甲方有权追究乙方相关的责任。</w:t>
      </w:r>
    </w:p>
    <w:p w14:paraId="07013623">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10.2 甲乙双方应妥善保管对方提供的资料，保守对方的各项秘密。未经对方许可，不得利用知悉的对方资料和成果为自己或第三方谋取利益。</w:t>
      </w:r>
    </w:p>
    <w:p w14:paraId="3C370993">
      <w:pPr>
        <w:keepNext w:val="0"/>
        <w:keepLines w:val="0"/>
        <w:pageBreakBefore w:val="0"/>
        <w:numPr>
          <w:ilvl w:val="1"/>
          <w:numId w:val="0"/>
        </w:numPr>
        <w:kinsoku/>
        <w:wordWrap/>
        <w:overflowPunct/>
        <w:topLinePunct w:val="0"/>
        <w:autoSpaceDE/>
        <w:autoSpaceDN/>
        <w:bidi w:val="0"/>
        <w:adjustRightInd/>
        <w:snapToGrid w:val="0"/>
        <w:spacing w:line="360" w:lineRule="auto"/>
        <w:ind w:firstLine="420" w:firstLineChars="200"/>
        <w:contextualSpacing/>
        <w:jc w:val="left"/>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 xml:space="preserve">10.3 </w:t>
      </w:r>
      <w:r>
        <w:rPr>
          <w:rFonts w:hint="eastAsia" w:ascii="宋体" w:hAnsi="宋体" w:eastAsia="宋体" w:cs="宋体"/>
          <w:color w:val="000000"/>
          <w:kern w:val="2"/>
          <w:sz w:val="21"/>
          <w:szCs w:val="21"/>
        </w:rPr>
        <w:t>保密期限为永久，直至相关保密信息被依法公开并成为行业公知为止。</w:t>
      </w:r>
    </w:p>
    <w:p w14:paraId="13BC300A">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第十一条 违约责任</w:t>
      </w:r>
    </w:p>
    <w:p w14:paraId="6EF7686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11.1 乙方对出现的遗漏或错误负责修改或补充。由于乙方</w:t>
      </w:r>
      <w:r>
        <w:rPr>
          <w:rFonts w:hint="eastAsia" w:ascii="宋体" w:hAnsi="宋体" w:eastAsia="宋体" w:cs="宋体"/>
          <w:color w:val="000000"/>
          <w:kern w:val="2"/>
          <w:sz w:val="21"/>
          <w:szCs w:val="21"/>
          <w:lang w:val="en-US" w:eastAsia="zh-CN"/>
        </w:rPr>
        <w:t>工作</w:t>
      </w:r>
      <w:r>
        <w:rPr>
          <w:rFonts w:hint="eastAsia" w:ascii="宋体" w:hAnsi="宋体" w:eastAsia="宋体" w:cs="宋体"/>
          <w:color w:val="000000"/>
          <w:kern w:val="2"/>
          <w:sz w:val="21"/>
          <w:szCs w:val="21"/>
        </w:rPr>
        <w:t>错误造成的损失，乙方除负责采取有效补救措施外，应免收受损失部分的费用，甲方有权对实际损失的金额于合同费用中先行扣除；</w:t>
      </w:r>
    </w:p>
    <w:p w14:paraId="3CBF34A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11.2 若乙方未按照合同约定完成包括但不限于协助甲方完成相应的报建、提供咨询服务、解决问题等工作，甲方有权要求乙方整改并视情况扣除服务费，若乙方拒不整改或整改不符合甲方要求，则甲方有权单方面解除合同；</w:t>
      </w:r>
    </w:p>
    <w:p w14:paraId="4C9A5641">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color w:val="000000"/>
          <w:kern w:val="2"/>
          <w:sz w:val="21"/>
          <w:szCs w:val="21"/>
        </w:rPr>
        <w:t>11.3 成果文件经验收为不合格，则乙方应立即予以修改，且工期不予顺延；</w:t>
      </w:r>
    </w:p>
    <w:p w14:paraId="3322412D">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11.4 本合同履行期间，因非甲方原因，乙方未能按合同约定的日期(含协商延缓的日期)提交合格且经专家审议通过的成果文件的，甲方有权要求乙方承担合同约定价款每日3%的逾期违约金。逾期超过15日，甲方有权解除合同并不承担任何违约责任，造成的损失及违约责任由乙方承担。</w:t>
      </w:r>
    </w:p>
    <w:p w14:paraId="0D94958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rPr>
        <w:t xml:space="preserve">11.5 </w:t>
      </w:r>
      <w:r>
        <w:rPr>
          <w:rFonts w:hint="eastAsia" w:ascii="宋体" w:hAnsi="宋体" w:eastAsia="宋体" w:cs="宋体"/>
          <w:color w:val="000000"/>
          <w:kern w:val="2"/>
          <w:sz w:val="21"/>
          <w:szCs w:val="21"/>
        </w:rPr>
        <w:t>乙方在本项目工作范围内的服务对象只针对于本项目甲方，不得与其他利害关系单位有业务往来。</w:t>
      </w:r>
    </w:p>
    <w:p w14:paraId="397029A6">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color w:val="000000"/>
          <w:kern w:val="2"/>
          <w:sz w:val="21"/>
          <w:szCs w:val="21"/>
        </w:rPr>
        <w:t>11.</w:t>
      </w:r>
      <w:r>
        <w:rPr>
          <w:rFonts w:hint="eastAsia" w:ascii="宋体" w:hAnsi="宋体" w:eastAsia="宋体" w:cs="宋体"/>
          <w:color w:val="000000"/>
          <w:kern w:val="2"/>
          <w:sz w:val="21"/>
          <w:szCs w:val="21"/>
          <w:lang w:val="en-US" w:eastAsia="zh-CN"/>
        </w:rPr>
        <w:t>6</w:t>
      </w:r>
      <w:r>
        <w:rPr>
          <w:rFonts w:hint="eastAsia" w:ascii="宋体" w:hAnsi="宋体" w:eastAsia="宋体" w:cs="宋体"/>
          <w:color w:val="000000"/>
          <w:kern w:val="2"/>
          <w:sz w:val="21"/>
          <w:szCs w:val="21"/>
        </w:rPr>
        <w:t xml:space="preserve"> 若乙方未经甲方同意擅自更换项目负责人或经甲方要求更换项目负责人而拒不更换，则应自擅自更换或拒绝更换之日起，按合同约定价款承担每日2%的违约责任，超过5日后，甲方有权单方面解除合同。</w:t>
      </w:r>
    </w:p>
    <w:p w14:paraId="7E255903">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第十二条 合同争议的解决方式</w:t>
      </w:r>
    </w:p>
    <w:p w14:paraId="7B451154">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kern w:val="2"/>
          <w:sz w:val="21"/>
          <w:szCs w:val="21"/>
        </w:rPr>
        <w:t>本合同发生争议，甲方、乙方应及时协商解决，也可由当地建设行政主管部门调解，协商或调解不成时，甲方、乙方同意由</w:t>
      </w:r>
      <w:r>
        <w:rPr>
          <w:rFonts w:hint="eastAsia" w:ascii="宋体" w:hAnsi="宋体" w:eastAsia="宋体" w:cs="宋体"/>
          <w:kern w:val="2"/>
          <w:sz w:val="21"/>
          <w:szCs w:val="21"/>
          <w:u w:val="single"/>
        </w:rPr>
        <w:t xml:space="preserve"> 西安 </w:t>
      </w:r>
      <w:r>
        <w:rPr>
          <w:rFonts w:hint="eastAsia" w:ascii="宋体" w:hAnsi="宋体" w:eastAsia="宋体" w:cs="宋体"/>
          <w:kern w:val="2"/>
          <w:sz w:val="21"/>
          <w:szCs w:val="21"/>
        </w:rPr>
        <w:t>仲裁委员会仲裁。</w:t>
      </w:r>
    </w:p>
    <w:p w14:paraId="128D8473">
      <w:pPr>
        <w:keepNext w:val="0"/>
        <w:keepLines w:val="0"/>
        <w:pageBreakBefore w:val="0"/>
        <w:kinsoku/>
        <w:wordWrap/>
        <w:overflowPunct/>
        <w:topLinePunct w:val="0"/>
        <w:autoSpaceDE/>
        <w:autoSpaceDN/>
        <w:bidi w:val="0"/>
        <w:adjustRightInd/>
        <w:snapToGrid w:val="0"/>
        <w:spacing w:line="360" w:lineRule="auto"/>
        <w:ind w:firstLine="422" w:firstLineChars="200"/>
        <w:jc w:val="left"/>
        <w:textAlignment w:val="auto"/>
        <w:outlineLvl w:val="9"/>
        <w:rPr>
          <w:rFonts w:hint="eastAsia" w:ascii="宋体" w:hAnsi="宋体" w:eastAsia="宋体" w:cs="宋体"/>
          <w:b/>
          <w:kern w:val="2"/>
          <w:sz w:val="21"/>
          <w:szCs w:val="21"/>
        </w:rPr>
      </w:pPr>
      <w:r>
        <w:rPr>
          <w:rFonts w:hint="eastAsia" w:ascii="宋体" w:hAnsi="宋体" w:eastAsia="宋体" w:cs="宋体"/>
          <w:b/>
          <w:kern w:val="2"/>
          <w:sz w:val="21"/>
          <w:szCs w:val="21"/>
        </w:rPr>
        <w:t>第十三条 其它</w:t>
      </w:r>
    </w:p>
    <w:p w14:paraId="6AECC84E">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13.1 合同未尽事宜，由双方协商签订补充协议。补充协议与本合同具有同等法律效力。</w:t>
      </w:r>
    </w:p>
    <w:p w14:paraId="19DB01C0">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2"/>
          <w:sz w:val="21"/>
          <w:szCs w:val="21"/>
        </w:rPr>
      </w:pPr>
      <w:r>
        <w:rPr>
          <w:rFonts w:hint="eastAsia" w:ascii="宋体" w:hAnsi="宋体" w:eastAsia="宋体" w:cs="宋体"/>
          <w:kern w:val="2"/>
          <w:sz w:val="21"/>
          <w:szCs w:val="21"/>
        </w:rPr>
        <w:t>13.2 本合同经双方法定代表人或委托代理人签字或盖章并加盖公章后即生效。双方履行完合同规定的义务后，本合同即行终止。</w:t>
      </w:r>
    </w:p>
    <w:p w14:paraId="274261FC">
      <w:pPr>
        <w:keepNext w:val="0"/>
        <w:keepLines w:val="0"/>
        <w:pageBreakBefore w:val="0"/>
        <w:kinsoku/>
        <w:wordWrap/>
        <w:overflowPunct/>
        <w:topLinePunct w:val="0"/>
        <w:autoSpaceDE/>
        <w:autoSpaceDN/>
        <w:bidi w:val="0"/>
        <w:adjustRightInd/>
        <w:snapToGrid w:val="0"/>
        <w:spacing w:line="360" w:lineRule="auto"/>
        <w:ind w:firstLine="420" w:firstLineChars="200"/>
        <w:jc w:val="both"/>
        <w:textAlignment w:val="auto"/>
        <w:rPr>
          <w:rFonts w:hint="eastAsia" w:hAnsi="宋体"/>
          <w:kern w:val="2"/>
          <w:sz w:val="21"/>
          <w:szCs w:val="21"/>
          <w:lang w:val="en-US" w:eastAsia="zh-CN"/>
        </w:rPr>
      </w:pPr>
      <w:r>
        <w:rPr>
          <w:rFonts w:hint="eastAsia" w:ascii="宋体" w:hAnsi="宋体" w:eastAsia="宋体" w:cs="宋体"/>
          <w:kern w:val="2"/>
          <w:sz w:val="21"/>
          <w:szCs w:val="21"/>
        </w:rPr>
        <w:t>13.3 本合同一式</w:t>
      </w:r>
      <w:r>
        <w:rPr>
          <w:rFonts w:hint="eastAsia" w:ascii="宋体" w:hAnsi="宋体" w:eastAsia="宋体" w:cs="宋体"/>
          <w:kern w:val="2"/>
          <w:sz w:val="21"/>
          <w:szCs w:val="21"/>
          <w:u w:val="single"/>
        </w:rPr>
        <w:t xml:space="preserve"> 陆 </w:t>
      </w:r>
      <w:r>
        <w:rPr>
          <w:rFonts w:hint="eastAsia" w:ascii="宋体" w:hAnsi="宋体" w:eastAsia="宋体" w:cs="宋体"/>
          <w:kern w:val="2"/>
          <w:sz w:val="21"/>
          <w:szCs w:val="21"/>
        </w:rPr>
        <w:t>份，甲、乙双方各执</w:t>
      </w:r>
      <w:r>
        <w:rPr>
          <w:rFonts w:hint="eastAsia" w:ascii="宋体" w:hAnsi="宋体" w:eastAsia="宋体" w:cs="宋体"/>
          <w:kern w:val="2"/>
          <w:sz w:val="21"/>
          <w:szCs w:val="21"/>
          <w:u w:val="single"/>
        </w:rPr>
        <w:t xml:space="preserve"> 叁 </w:t>
      </w:r>
      <w:r>
        <w:rPr>
          <w:rFonts w:hint="eastAsia" w:ascii="宋体" w:hAnsi="宋体" w:eastAsia="宋体" w:cs="宋体"/>
          <w:kern w:val="2"/>
          <w:sz w:val="21"/>
          <w:szCs w:val="21"/>
        </w:rPr>
        <w:t>份，具有同等法律效力。</w:t>
      </w:r>
    </w:p>
    <w:p w14:paraId="13B5C049">
      <w:pPr>
        <w:spacing w:line="360" w:lineRule="auto"/>
        <w:ind w:firstLine="422" w:firstLineChars="200"/>
        <w:jc w:val="left"/>
        <w:rPr>
          <w:rFonts w:hint="eastAsia" w:ascii="宋体" w:hAnsi="宋体" w:eastAsia="宋体" w:cs="宋体"/>
          <w:b/>
          <w:bCs/>
          <w:kern w:val="2"/>
          <w:sz w:val="21"/>
          <w:szCs w:val="21"/>
          <w:lang w:val="en-US" w:eastAsia="zh-CN"/>
        </w:rPr>
      </w:pPr>
      <w:r>
        <w:rPr>
          <w:rFonts w:hint="eastAsia" w:ascii="宋体" w:hAnsi="宋体" w:eastAsia="宋体" w:cs="宋体"/>
          <w:b/>
          <w:bCs/>
          <w:kern w:val="2"/>
          <w:sz w:val="21"/>
          <w:szCs w:val="21"/>
          <w:lang w:val="en-US" w:eastAsia="zh-CN"/>
        </w:rPr>
        <w:t>附件1：试验检测工作确认单</w:t>
      </w:r>
    </w:p>
    <w:p w14:paraId="7E48D5E2">
      <w:pPr>
        <w:spacing w:line="360" w:lineRule="auto"/>
        <w:ind w:firstLine="422" w:firstLineChars="200"/>
        <w:jc w:val="left"/>
        <w:rPr>
          <w:rFonts w:hint="eastAsia" w:ascii="宋体" w:hAnsi="宋体" w:eastAsia="宋体" w:cs="宋体"/>
          <w:b/>
          <w:bCs/>
          <w:kern w:val="2"/>
          <w:sz w:val="21"/>
          <w:szCs w:val="21"/>
          <w:lang w:val="en-US" w:eastAsia="zh-CN"/>
        </w:rPr>
      </w:pPr>
      <w:r>
        <w:rPr>
          <w:rFonts w:hint="eastAsia" w:ascii="宋体" w:hAnsi="宋体" w:eastAsia="宋体" w:cs="宋体"/>
          <w:b/>
          <w:bCs/>
          <w:kern w:val="2"/>
          <w:sz w:val="21"/>
          <w:szCs w:val="21"/>
          <w:lang w:val="en-US" w:eastAsia="zh-CN"/>
        </w:rPr>
        <w:t>附件2：投标报价明细表</w:t>
      </w:r>
    </w:p>
    <w:p w14:paraId="7E0A0AF5">
      <w:pPr>
        <w:spacing w:line="360" w:lineRule="auto"/>
        <w:ind w:firstLine="422" w:firstLineChars="200"/>
        <w:jc w:val="left"/>
      </w:pPr>
      <w:r>
        <w:rPr>
          <w:rFonts w:hint="eastAsia" w:ascii="宋体" w:hAnsi="宋体" w:eastAsia="宋体" w:cs="宋体"/>
          <w:b/>
          <w:bCs/>
          <w:kern w:val="2"/>
          <w:sz w:val="21"/>
          <w:szCs w:val="21"/>
          <w:lang w:val="en-US" w:eastAsia="zh-CN"/>
        </w:rPr>
        <w:t>附件3：检测团队人员名单</w:t>
      </w:r>
    </w:p>
    <w:tbl>
      <w:tblPr>
        <w:tblStyle w:val="4"/>
        <w:tblpPr w:leftFromText="180" w:rightFromText="180" w:vertAnchor="text" w:horzAnchor="page" w:tblpX="2079" w:tblpY="457"/>
        <w:tblOverlap w:val="never"/>
        <w:tblW w:w="8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33"/>
        <w:gridCol w:w="4267"/>
      </w:tblGrid>
      <w:tr w14:paraId="100B3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3933" w:type="dxa"/>
            <w:tcBorders>
              <w:top w:val="nil"/>
              <w:left w:val="nil"/>
              <w:bottom w:val="nil"/>
              <w:right w:val="nil"/>
            </w:tcBorders>
            <w:noWrap w:val="0"/>
            <w:vAlign w:val="center"/>
          </w:tcPr>
          <w:p w14:paraId="1B59DDB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kern w:val="0"/>
                <w:sz w:val="21"/>
                <w:szCs w:val="21"/>
                <w:highlight w:val="none"/>
                <w:u w:val="none"/>
                <w:lang w:val="en-US" w:eastAsia="zh-CN" w:bidi="ar"/>
              </w:rPr>
              <w:t>甲  方</w:t>
            </w:r>
            <w:r>
              <w:rPr>
                <w:rFonts w:hint="default" w:ascii="Times New Roman" w:hAnsi="Times New Roman" w:eastAsia="宋体" w:cs="Times New Roman"/>
                <w:i w:val="0"/>
                <w:iCs w:val="0"/>
                <w:color w:val="auto"/>
                <w:kern w:val="0"/>
                <w:sz w:val="21"/>
                <w:szCs w:val="21"/>
                <w:highlight w:val="none"/>
                <w:u w:val="none"/>
                <w:lang w:val="en-US" w:eastAsia="zh-CN" w:bidi="ar"/>
              </w:rPr>
              <w:t xml:space="preserve">: </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c>
          <w:tcPr>
            <w:tcW w:w="4267" w:type="dxa"/>
            <w:tcBorders>
              <w:top w:val="nil"/>
              <w:left w:val="nil"/>
              <w:bottom w:val="nil"/>
              <w:right w:val="nil"/>
            </w:tcBorders>
            <w:noWrap w:val="0"/>
            <w:vAlign w:val="center"/>
          </w:tcPr>
          <w:p w14:paraId="09807A4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kern w:val="0"/>
                <w:sz w:val="21"/>
                <w:szCs w:val="21"/>
                <w:highlight w:val="none"/>
                <w:u w:val="none"/>
                <w:lang w:val="en-US" w:eastAsia="zh-CN" w:bidi="ar"/>
              </w:rPr>
              <w:t>乙  方</w:t>
            </w:r>
            <w:r>
              <w:rPr>
                <w:rFonts w:hint="default"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r>
      <w:tr w14:paraId="3B04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exact"/>
        </w:trPr>
        <w:tc>
          <w:tcPr>
            <w:tcW w:w="3933" w:type="dxa"/>
            <w:tcBorders>
              <w:top w:val="nil"/>
              <w:left w:val="nil"/>
              <w:bottom w:val="nil"/>
              <w:right w:val="nil"/>
            </w:tcBorders>
            <w:noWrap w:val="0"/>
            <w:vAlign w:val="center"/>
          </w:tcPr>
          <w:p w14:paraId="049F8F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法定代表人或</w:t>
            </w:r>
            <w:r>
              <w:rPr>
                <w:rFonts w:hint="default" w:ascii="Times New Roman" w:hAnsi="Times New Roman" w:eastAsia="宋体" w:cs="Times New Roman"/>
                <w:i w:val="0"/>
                <w:iCs w:val="0"/>
                <w:color w:val="auto"/>
                <w:kern w:val="0"/>
                <w:sz w:val="21"/>
                <w:szCs w:val="21"/>
                <w:highlight w:val="none"/>
                <w:u w:val="none"/>
                <w:lang w:val="en-US" w:eastAsia="zh-CN" w:bidi="ar"/>
              </w:rPr>
              <w:br w:type="textWrapping"/>
            </w:r>
            <w:r>
              <w:rPr>
                <w:rFonts w:hint="default" w:ascii="Times New Roman" w:hAnsi="Times New Roman" w:eastAsia="宋体" w:cs="Times New Roman"/>
                <w:i w:val="0"/>
                <w:iCs w:val="0"/>
                <w:color w:val="auto"/>
                <w:kern w:val="0"/>
                <w:sz w:val="21"/>
                <w:szCs w:val="21"/>
                <w:highlight w:val="none"/>
                <w:u w:val="none"/>
                <w:lang w:val="en-US" w:eastAsia="zh-CN" w:bidi="ar"/>
              </w:rPr>
              <w:t>委托代理人：</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i w:val="0"/>
                <w:iCs w:val="0"/>
                <w:color w:val="auto"/>
                <w:kern w:val="0"/>
                <w:sz w:val="21"/>
                <w:szCs w:val="21"/>
                <w:highlight w:val="none"/>
                <w:u w:val="none"/>
                <w:lang w:val="en-US" w:eastAsia="zh-CN" w:bidi="ar"/>
              </w:rPr>
              <w:t>签字或</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c>
          <w:tcPr>
            <w:tcW w:w="4267" w:type="dxa"/>
            <w:tcBorders>
              <w:top w:val="nil"/>
              <w:left w:val="nil"/>
              <w:bottom w:val="nil"/>
              <w:right w:val="nil"/>
            </w:tcBorders>
            <w:noWrap w:val="0"/>
            <w:vAlign w:val="center"/>
          </w:tcPr>
          <w:p w14:paraId="6E929B6A">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法定代表人或</w:t>
            </w:r>
            <w:r>
              <w:rPr>
                <w:rFonts w:hint="default" w:ascii="Times New Roman" w:hAnsi="Times New Roman" w:eastAsia="宋体" w:cs="Times New Roman"/>
                <w:i w:val="0"/>
                <w:iCs w:val="0"/>
                <w:color w:val="auto"/>
                <w:kern w:val="0"/>
                <w:sz w:val="21"/>
                <w:szCs w:val="21"/>
                <w:highlight w:val="none"/>
                <w:u w:val="none"/>
                <w:lang w:val="en-US" w:eastAsia="zh-CN" w:bidi="ar"/>
              </w:rPr>
              <w:br w:type="textWrapping"/>
            </w:r>
            <w:r>
              <w:rPr>
                <w:rFonts w:hint="default" w:ascii="Times New Roman" w:hAnsi="Times New Roman" w:eastAsia="宋体" w:cs="Times New Roman"/>
                <w:i w:val="0"/>
                <w:iCs w:val="0"/>
                <w:color w:val="auto"/>
                <w:kern w:val="0"/>
                <w:sz w:val="21"/>
                <w:szCs w:val="21"/>
                <w:highlight w:val="none"/>
                <w:u w:val="none"/>
                <w:lang w:val="en-US" w:eastAsia="zh-CN" w:bidi="ar"/>
              </w:rPr>
              <w:t>委托代理人：</w:t>
            </w:r>
            <w:r>
              <w:rPr>
                <w:rFonts w:hint="eastAsia" w:ascii="Times New Roman" w:hAnsi="Times New Roman" w:eastAsia="宋体" w:cs="Times New Roman"/>
                <w:i w:val="0"/>
                <w:iCs w:val="0"/>
                <w:color w:val="auto"/>
                <w:kern w:val="0"/>
                <w:sz w:val="21"/>
                <w:szCs w:val="21"/>
                <w:highlight w:val="none"/>
                <w:u w:val="none"/>
                <w:lang w:val="en-US" w:eastAsia="zh-CN" w:bidi="ar"/>
              </w:rPr>
              <w:t xml:space="preserve">             </w:t>
            </w:r>
            <w:r>
              <w:rPr>
                <w:rFonts w:hint="default"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i w:val="0"/>
                <w:iCs w:val="0"/>
                <w:color w:val="auto"/>
                <w:kern w:val="0"/>
                <w:sz w:val="21"/>
                <w:szCs w:val="21"/>
                <w:highlight w:val="none"/>
                <w:u w:val="none"/>
                <w:lang w:val="en-US" w:eastAsia="zh-CN" w:bidi="ar"/>
              </w:rPr>
              <w:t>签字或</w:t>
            </w:r>
            <w:r>
              <w:rPr>
                <w:rFonts w:hint="default" w:ascii="Times New Roman" w:hAnsi="Times New Roman" w:eastAsia="宋体" w:cs="Times New Roman"/>
                <w:i w:val="0"/>
                <w:iCs w:val="0"/>
                <w:color w:val="auto"/>
                <w:kern w:val="0"/>
                <w:sz w:val="21"/>
                <w:szCs w:val="21"/>
                <w:highlight w:val="none"/>
                <w:u w:val="none"/>
                <w:lang w:val="en-US" w:eastAsia="zh-CN" w:bidi="ar"/>
              </w:rPr>
              <w:t>盖章）</w:t>
            </w:r>
          </w:p>
        </w:tc>
      </w:tr>
      <w:tr w14:paraId="7307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2BD1C61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住  所：</w:t>
            </w:r>
          </w:p>
        </w:tc>
        <w:tc>
          <w:tcPr>
            <w:tcW w:w="4267" w:type="dxa"/>
            <w:tcBorders>
              <w:top w:val="nil"/>
              <w:left w:val="nil"/>
              <w:bottom w:val="nil"/>
              <w:right w:val="nil"/>
            </w:tcBorders>
            <w:noWrap/>
            <w:vAlign w:val="center"/>
          </w:tcPr>
          <w:p w14:paraId="423C81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住  所：</w:t>
            </w:r>
          </w:p>
        </w:tc>
      </w:tr>
      <w:tr w14:paraId="0C360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7F0F908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邮政编码：</w:t>
            </w:r>
          </w:p>
        </w:tc>
        <w:tc>
          <w:tcPr>
            <w:tcW w:w="4267" w:type="dxa"/>
            <w:tcBorders>
              <w:top w:val="nil"/>
              <w:left w:val="nil"/>
              <w:bottom w:val="nil"/>
              <w:right w:val="nil"/>
            </w:tcBorders>
            <w:noWrap/>
            <w:vAlign w:val="center"/>
          </w:tcPr>
          <w:p w14:paraId="2103B82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邮政编码：</w:t>
            </w:r>
          </w:p>
        </w:tc>
      </w:tr>
      <w:tr w14:paraId="135B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314CC43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电  话：</w:t>
            </w:r>
          </w:p>
        </w:tc>
        <w:tc>
          <w:tcPr>
            <w:tcW w:w="4267" w:type="dxa"/>
            <w:tcBorders>
              <w:top w:val="nil"/>
              <w:left w:val="nil"/>
              <w:bottom w:val="nil"/>
              <w:right w:val="nil"/>
            </w:tcBorders>
            <w:noWrap/>
            <w:vAlign w:val="center"/>
          </w:tcPr>
          <w:p w14:paraId="05FB88F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电  话：</w:t>
            </w:r>
          </w:p>
        </w:tc>
      </w:tr>
      <w:tr w14:paraId="5A4B2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429EADB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开户银行：</w:t>
            </w:r>
          </w:p>
        </w:tc>
        <w:tc>
          <w:tcPr>
            <w:tcW w:w="4267" w:type="dxa"/>
            <w:tcBorders>
              <w:top w:val="nil"/>
              <w:left w:val="nil"/>
              <w:bottom w:val="nil"/>
              <w:right w:val="nil"/>
            </w:tcBorders>
            <w:noWrap/>
            <w:vAlign w:val="center"/>
          </w:tcPr>
          <w:p w14:paraId="1035165A">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default" w:ascii="Times New Roman" w:hAnsi="Times New Roman" w:eastAsia="宋体" w:cs="Times New Roman"/>
                <w:i w:val="0"/>
                <w:iCs w:val="0"/>
                <w:color w:val="auto"/>
                <w:kern w:val="0"/>
                <w:sz w:val="21"/>
                <w:szCs w:val="21"/>
                <w:highlight w:val="none"/>
                <w:u w:val="none"/>
                <w:lang w:val="en-US" w:eastAsia="zh-CN" w:bidi="ar"/>
              </w:rPr>
              <w:t>开户银行：</w:t>
            </w:r>
          </w:p>
        </w:tc>
      </w:tr>
      <w:tr w14:paraId="6D9CC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03A62478">
            <w:pPr>
              <w:keepNext w:val="0"/>
              <w:keepLines w:val="0"/>
              <w:widowControl/>
              <w:suppressLineNumbers w:val="0"/>
              <w:jc w:val="left"/>
              <w:textAlignment w:val="center"/>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账  号：</w:t>
            </w:r>
          </w:p>
        </w:tc>
        <w:tc>
          <w:tcPr>
            <w:tcW w:w="4267" w:type="dxa"/>
            <w:tcBorders>
              <w:top w:val="nil"/>
              <w:left w:val="nil"/>
              <w:bottom w:val="nil"/>
              <w:right w:val="nil"/>
            </w:tcBorders>
            <w:noWrap/>
            <w:vAlign w:val="center"/>
          </w:tcPr>
          <w:p w14:paraId="515068A4">
            <w:pPr>
              <w:keepNext w:val="0"/>
              <w:keepLines w:val="0"/>
              <w:widowControl/>
              <w:suppressLineNumbers w:val="0"/>
              <w:jc w:val="left"/>
              <w:textAlignment w:val="center"/>
              <w:rPr>
                <w:rFonts w:hint="default" w:ascii="Times New Roman" w:hAnsi="Times New Roman" w:eastAsia="宋体" w:cs="Times New Roman"/>
                <w:i w:val="0"/>
                <w:iCs w:val="0"/>
                <w:color w:val="auto"/>
                <w:kern w:val="2"/>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账  号：</w:t>
            </w:r>
          </w:p>
        </w:tc>
      </w:tr>
      <w:tr w14:paraId="754F6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933" w:type="dxa"/>
            <w:tcBorders>
              <w:top w:val="nil"/>
              <w:left w:val="nil"/>
              <w:bottom w:val="nil"/>
              <w:right w:val="nil"/>
            </w:tcBorders>
            <w:noWrap/>
            <w:vAlign w:val="center"/>
          </w:tcPr>
          <w:p w14:paraId="6DA1C988">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lang w:val="en-US" w:eastAsia="zh-CN"/>
              </w:rPr>
            </w:pPr>
            <w:r>
              <w:rPr>
                <w:rFonts w:hint="eastAsia" w:ascii="Times New Roman" w:hAnsi="Times New Roman" w:eastAsia="宋体" w:cs="Times New Roman"/>
                <w:i w:val="0"/>
                <w:iCs w:val="0"/>
                <w:color w:val="auto"/>
                <w:sz w:val="21"/>
                <w:szCs w:val="21"/>
                <w:highlight w:val="none"/>
                <w:u w:val="none"/>
                <w:lang w:val="en-US" w:eastAsia="zh-CN"/>
              </w:rPr>
              <w:t>签订</w:t>
            </w:r>
            <w:r>
              <w:rPr>
                <w:rFonts w:hint="default" w:ascii="Times New Roman" w:hAnsi="Times New Roman" w:eastAsia="宋体" w:cs="Times New Roman"/>
                <w:i w:val="0"/>
                <w:iCs w:val="0"/>
                <w:color w:val="auto"/>
                <w:sz w:val="21"/>
                <w:szCs w:val="21"/>
                <w:highlight w:val="none"/>
                <w:u w:val="none"/>
                <w:lang w:val="en-US" w:eastAsia="zh-CN"/>
              </w:rPr>
              <w:t>日期：       年    月    日</w:t>
            </w:r>
          </w:p>
        </w:tc>
        <w:tc>
          <w:tcPr>
            <w:tcW w:w="4267" w:type="dxa"/>
            <w:tcBorders>
              <w:top w:val="nil"/>
              <w:left w:val="nil"/>
              <w:bottom w:val="nil"/>
              <w:right w:val="nil"/>
            </w:tcBorders>
            <w:noWrap/>
            <w:vAlign w:val="center"/>
          </w:tcPr>
          <w:p w14:paraId="726E12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highlight w:val="none"/>
                <w:u w:val="none"/>
              </w:rPr>
            </w:pPr>
            <w:r>
              <w:rPr>
                <w:rFonts w:hint="eastAsia" w:ascii="Times New Roman" w:hAnsi="Times New Roman" w:eastAsia="宋体" w:cs="Times New Roman"/>
                <w:i w:val="0"/>
                <w:iCs w:val="0"/>
                <w:color w:val="auto"/>
                <w:sz w:val="21"/>
                <w:szCs w:val="21"/>
                <w:highlight w:val="none"/>
                <w:u w:val="none"/>
                <w:lang w:val="en-US" w:eastAsia="zh-CN"/>
              </w:rPr>
              <w:t>签订</w:t>
            </w:r>
            <w:r>
              <w:rPr>
                <w:rFonts w:hint="default" w:ascii="Times New Roman" w:hAnsi="Times New Roman" w:eastAsia="宋体" w:cs="Times New Roman"/>
                <w:i w:val="0"/>
                <w:iCs w:val="0"/>
                <w:color w:val="auto"/>
                <w:sz w:val="21"/>
                <w:szCs w:val="21"/>
                <w:highlight w:val="none"/>
                <w:u w:val="none"/>
                <w:lang w:val="en-US" w:eastAsia="zh-CN"/>
              </w:rPr>
              <w:t>日期：       年    月    日</w:t>
            </w:r>
          </w:p>
        </w:tc>
      </w:tr>
    </w:tbl>
    <w:p w14:paraId="28AF0002">
      <w:pP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br w:type="page"/>
      </w:r>
    </w:p>
    <w:p w14:paraId="18841CAB">
      <w:pPr>
        <w:pStyle w:val="2"/>
        <w:rPr>
          <w:rFonts w:hint="eastAsia"/>
          <w:lang w:val="en-US" w:eastAsia="zh-CN"/>
        </w:rPr>
        <w:sectPr>
          <w:footerReference r:id="rId7" w:type="default"/>
          <w:pgSz w:w="11906" w:h="16838"/>
          <w:pgMar w:top="1134" w:right="1083" w:bottom="1134" w:left="1083" w:header="851" w:footer="992" w:gutter="0"/>
          <w:pgNumType w:fmt="numberInDash"/>
          <w:cols w:space="720" w:num="1"/>
          <w:docGrid w:type="lines" w:linePitch="312" w:charSpace="0"/>
        </w:sectPr>
      </w:pPr>
      <w:bookmarkStart w:id="2" w:name="_GoBack"/>
      <w:bookmarkEnd w:id="2"/>
    </w:p>
    <w:p w14:paraId="010300E9">
      <w:pPr>
        <w:pageBreakBefore w:val="0"/>
        <w:kinsoku/>
        <w:wordWrap/>
        <w:overflowPunct/>
        <w:topLinePunct w:val="0"/>
        <w:bidi w:val="0"/>
        <w:adjustRightInd w:val="0"/>
        <w:snapToGrid w:val="0"/>
        <w:spacing w:line="360" w:lineRule="auto"/>
        <w:ind w:left="0" w:leftChars="0" w:right="0" w:rightChars="0"/>
        <w:outlineLvl w:val="9"/>
        <w:rPr>
          <w:rFonts w:hint="eastAsia" w:ascii="宋体" w:hAnsi="宋体" w:eastAsia="宋体" w:cs="宋体"/>
          <w:b/>
          <w:sz w:val="24"/>
          <w:szCs w:val="24"/>
          <w:lang w:val="en-US" w:eastAsia="zh-CN"/>
        </w:rPr>
      </w:pPr>
      <w:r>
        <w:rPr>
          <w:rFonts w:hint="eastAsia" w:ascii="宋体" w:hAnsi="宋体" w:eastAsia="宋体" w:cs="宋体"/>
          <w:b/>
          <w:sz w:val="24"/>
          <w:szCs w:val="24"/>
        </w:rPr>
        <w:t>附件</w:t>
      </w:r>
      <w:r>
        <w:rPr>
          <w:rFonts w:hint="eastAsia" w:ascii="宋体" w:hAnsi="宋体" w:cs="宋体"/>
          <w:b/>
          <w:sz w:val="24"/>
          <w:szCs w:val="24"/>
          <w:lang w:val="en-US" w:eastAsia="zh-CN"/>
        </w:rPr>
        <w:t>1</w:t>
      </w:r>
      <w:r>
        <w:rPr>
          <w:rFonts w:hint="eastAsia" w:ascii="宋体" w:hAnsi="宋体" w:eastAsia="宋体" w:cs="宋体"/>
          <w:b/>
          <w:sz w:val="24"/>
          <w:szCs w:val="24"/>
          <w:lang w:val="en-US" w:eastAsia="zh-CN"/>
        </w:rPr>
        <w:t>：试验检测工作确认单</w:t>
      </w:r>
    </w:p>
    <w:p w14:paraId="777C67A7">
      <w:pPr>
        <w:pageBreakBefore w:val="0"/>
        <w:kinsoku/>
        <w:wordWrap/>
        <w:overflowPunct/>
        <w:topLinePunct w:val="0"/>
        <w:bidi w:val="0"/>
        <w:adjustRightInd w:val="0"/>
        <w:snapToGrid w:val="0"/>
        <w:spacing w:line="360" w:lineRule="auto"/>
        <w:ind w:left="0" w:leftChars="0" w:right="0" w:rightChars="0"/>
        <w:jc w:val="center"/>
        <w:rPr>
          <w:rFonts w:hint="eastAsia" w:ascii="宋体" w:hAnsi="宋体" w:eastAsia="宋体" w:cs="宋体"/>
          <w:b/>
          <w:bCs/>
          <w:sz w:val="32"/>
          <w:szCs w:val="32"/>
        </w:rPr>
      </w:pPr>
      <w:r>
        <w:rPr>
          <w:rFonts w:hint="eastAsia" w:ascii="宋体" w:hAnsi="宋体" w:eastAsia="宋体" w:cs="宋体"/>
          <w:b/>
          <w:bCs/>
          <w:sz w:val="32"/>
          <w:szCs w:val="32"/>
        </w:rPr>
        <w:t>试验检测</w:t>
      </w:r>
      <w:r>
        <w:rPr>
          <w:rFonts w:hint="eastAsia" w:ascii="宋体" w:hAnsi="宋体" w:eastAsia="宋体" w:cs="宋体"/>
          <w:b/>
          <w:bCs/>
          <w:sz w:val="32"/>
          <w:szCs w:val="32"/>
          <w:lang w:val="en-US" w:eastAsia="zh-CN"/>
        </w:rPr>
        <w:t>工作</w:t>
      </w:r>
      <w:r>
        <w:rPr>
          <w:rFonts w:hint="eastAsia" w:ascii="宋体" w:hAnsi="宋体" w:eastAsia="宋体" w:cs="宋体"/>
          <w:b/>
          <w:bCs/>
          <w:sz w:val="32"/>
          <w:szCs w:val="32"/>
        </w:rPr>
        <w:t>确认单（样表）</w:t>
      </w:r>
    </w:p>
    <w:p w14:paraId="7B0ACFCE">
      <w:pPr>
        <w:pageBreakBefore w:val="0"/>
        <w:kinsoku/>
        <w:wordWrap/>
        <w:overflowPunct/>
        <w:topLinePunct w:val="0"/>
        <w:bidi w:val="0"/>
        <w:adjustRightInd w:val="0"/>
        <w:snapToGrid w:val="0"/>
        <w:spacing w:line="360" w:lineRule="auto"/>
        <w:ind w:right="0" w:rightChars="0"/>
        <w:jc w:val="left"/>
        <w:rPr>
          <w:rFonts w:hint="eastAsia" w:ascii="宋体" w:hAnsi="宋体" w:eastAsia="宋体" w:cs="宋体"/>
          <w:sz w:val="21"/>
          <w:szCs w:val="21"/>
        </w:rPr>
      </w:pPr>
      <w:r>
        <w:rPr>
          <w:rFonts w:hint="eastAsia" w:ascii="宋体" w:hAnsi="宋体" w:eastAsia="宋体" w:cs="宋体"/>
          <w:bCs/>
          <w:sz w:val="21"/>
          <w:szCs w:val="21"/>
          <w:lang w:val="en-US" w:eastAsia="zh-CN"/>
        </w:rPr>
        <w:t>项目</w:t>
      </w:r>
      <w:r>
        <w:rPr>
          <w:rFonts w:hint="eastAsia" w:ascii="宋体" w:hAnsi="宋体" w:eastAsia="宋体" w:cs="宋体"/>
          <w:bCs/>
          <w:sz w:val="21"/>
          <w:szCs w:val="21"/>
        </w:rPr>
        <w:t>名称</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 xml:space="preserve">                                                      </w:t>
      </w:r>
      <w:r>
        <w:rPr>
          <w:rFonts w:hint="eastAsia" w:ascii="宋体" w:hAnsi="宋体" w:eastAsia="宋体" w:cs="宋体"/>
          <w:sz w:val="21"/>
          <w:szCs w:val="21"/>
        </w:rPr>
        <w:t xml:space="preserve">编号： </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82"/>
        <w:gridCol w:w="3595"/>
        <w:gridCol w:w="1250"/>
        <w:gridCol w:w="1718"/>
        <w:gridCol w:w="2207"/>
      </w:tblGrid>
      <w:tr w14:paraId="7CFB0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0"/>
            <w:vAlign w:val="center"/>
          </w:tcPr>
          <w:p w14:paraId="5E3216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806" w:type="pct"/>
            <w:tcBorders>
              <w:top w:val="single" w:color="000000" w:sz="4" w:space="0"/>
              <w:left w:val="single" w:color="000000" w:sz="4" w:space="0"/>
              <w:bottom w:val="single" w:color="000000" w:sz="4" w:space="0"/>
              <w:right w:val="single" w:color="000000" w:sz="4" w:space="0"/>
            </w:tcBorders>
            <w:noWrap w:val="0"/>
            <w:vAlign w:val="center"/>
          </w:tcPr>
          <w:p w14:paraId="2F6A52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检测项目</w:t>
            </w:r>
          </w:p>
        </w:tc>
        <w:tc>
          <w:tcPr>
            <w:tcW w:w="628" w:type="pct"/>
            <w:tcBorders>
              <w:top w:val="single" w:color="000000" w:sz="4" w:space="0"/>
              <w:left w:val="single" w:color="000000" w:sz="4" w:space="0"/>
              <w:bottom w:val="single" w:color="000000" w:sz="4" w:space="0"/>
              <w:right w:val="single" w:color="000000" w:sz="4" w:space="0"/>
            </w:tcBorders>
            <w:noWrap w:val="0"/>
            <w:vAlign w:val="center"/>
          </w:tcPr>
          <w:p w14:paraId="545001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863" w:type="pct"/>
            <w:tcBorders>
              <w:top w:val="single" w:color="000000" w:sz="4" w:space="0"/>
              <w:left w:val="single" w:color="000000" w:sz="4" w:space="0"/>
              <w:bottom w:val="single" w:color="000000" w:sz="4" w:space="0"/>
              <w:right w:val="single" w:color="000000" w:sz="4" w:space="0"/>
            </w:tcBorders>
            <w:noWrap w:val="0"/>
            <w:vAlign w:val="center"/>
          </w:tcPr>
          <w:p w14:paraId="16AE47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检测数量</w:t>
            </w:r>
          </w:p>
        </w:tc>
        <w:tc>
          <w:tcPr>
            <w:tcW w:w="1107" w:type="pct"/>
            <w:tcBorders>
              <w:top w:val="single" w:color="000000" w:sz="4" w:space="0"/>
              <w:left w:val="single" w:color="000000" w:sz="4" w:space="0"/>
              <w:bottom w:val="single" w:color="000000" w:sz="4" w:space="0"/>
              <w:right w:val="single" w:color="000000" w:sz="4" w:space="0"/>
            </w:tcBorders>
            <w:noWrap w:val="0"/>
            <w:vAlign w:val="center"/>
          </w:tcPr>
          <w:p w14:paraId="0F7472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1DC8A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4C81E2EC">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73A94FBB">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26103785">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3AE67BE3">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048124CF">
            <w:pPr>
              <w:rPr>
                <w:rFonts w:hint="eastAsia" w:ascii="宋体" w:hAnsi="宋体" w:eastAsia="宋体" w:cs="宋体"/>
                <w:i w:val="0"/>
                <w:iCs w:val="0"/>
                <w:color w:val="000000"/>
                <w:sz w:val="21"/>
                <w:szCs w:val="21"/>
                <w:u w:val="none"/>
              </w:rPr>
            </w:pPr>
          </w:p>
        </w:tc>
      </w:tr>
      <w:tr w14:paraId="5CEBA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6B902DFA">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5C2C5042">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4524ABC0">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66A222EA">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F2CC50D">
            <w:pPr>
              <w:rPr>
                <w:rFonts w:hint="eastAsia" w:ascii="宋体" w:hAnsi="宋体" w:eastAsia="宋体" w:cs="宋体"/>
                <w:i w:val="0"/>
                <w:iCs w:val="0"/>
                <w:color w:val="000000"/>
                <w:sz w:val="21"/>
                <w:szCs w:val="21"/>
                <w:u w:val="none"/>
              </w:rPr>
            </w:pPr>
          </w:p>
        </w:tc>
      </w:tr>
      <w:tr w14:paraId="2BB92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0341A011">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0134118F">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71A9C7DE">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7A6ED369">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BB93FF9">
            <w:pPr>
              <w:rPr>
                <w:rFonts w:hint="eastAsia" w:ascii="宋体" w:hAnsi="宋体" w:eastAsia="宋体" w:cs="宋体"/>
                <w:i w:val="0"/>
                <w:iCs w:val="0"/>
                <w:color w:val="000000"/>
                <w:sz w:val="21"/>
                <w:szCs w:val="21"/>
                <w:u w:val="none"/>
              </w:rPr>
            </w:pPr>
          </w:p>
        </w:tc>
      </w:tr>
      <w:tr w14:paraId="2B43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3208DAC1">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5A84B49F">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5BD87801">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56EFAF85">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6AE8EE1C">
            <w:pPr>
              <w:rPr>
                <w:rFonts w:hint="eastAsia" w:ascii="宋体" w:hAnsi="宋体" w:eastAsia="宋体" w:cs="宋体"/>
                <w:i w:val="0"/>
                <w:iCs w:val="0"/>
                <w:color w:val="000000"/>
                <w:sz w:val="21"/>
                <w:szCs w:val="21"/>
                <w:u w:val="none"/>
              </w:rPr>
            </w:pPr>
          </w:p>
        </w:tc>
      </w:tr>
      <w:tr w14:paraId="6983C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1CBF283A">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0987A815">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663500CD">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5F12E093">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75826E4C">
            <w:pPr>
              <w:rPr>
                <w:rFonts w:hint="eastAsia" w:ascii="宋体" w:hAnsi="宋体" w:eastAsia="宋体" w:cs="宋体"/>
                <w:i w:val="0"/>
                <w:iCs w:val="0"/>
                <w:color w:val="000000"/>
                <w:sz w:val="21"/>
                <w:szCs w:val="21"/>
                <w:u w:val="none"/>
              </w:rPr>
            </w:pPr>
          </w:p>
        </w:tc>
      </w:tr>
      <w:tr w14:paraId="43C97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5411E285">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7BAF5B47">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1D853CF3">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71291019">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8332814">
            <w:pPr>
              <w:rPr>
                <w:rFonts w:hint="eastAsia" w:ascii="宋体" w:hAnsi="宋体" w:eastAsia="宋体" w:cs="宋体"/>
                <w:i w:val="0"/>
                <w:iCs w:val="0"/>
                <w:color w:val="000000"/>
                <w:sz w:val="21"/>
                <w:szCs w:val="21"/>
                <w:u w:val="none"/>
              </w:rPr>
            </w:pPr>
          </w:p>
        </w:tc>
      </w:tr>
      <w:tr w14:paraId="55B32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16D34303">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7498FE0D">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27BFF381">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35DC109B">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71ABEC8">
            <w:pPr>
              <w:rPr>
                <w:rFonts w:hint="eastAsia" w:ascii="宋体" w:hAnsi="宋体" w:eastAsia="宋体" w:cs="宋体"/>
                <w:i w:val="0"/>
                <w:iCs w:val="0"/>
                <w:color w:val="000000"/>
                <w:sz w:val="21"/>
                <w:szCs w:val="21"/>
                <w:u w:val="none"/>
              </w:rPr>
            </w:pPr>
          </w:p>
        </w:tc>
      </w:tr>
      <w:tr w14:paraId="23C0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7D426994">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44C2C956">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6A32D0ED">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6DE9AB4D">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4258EA80">
            <w:pPr>
              <w:rPr>
                <w:rFonts w:hint="eastAsia" w:ascii="宋体" w:hAnsi="宋体" w:eastAsia="宋体" w:cs="宋体"/>
                <w:i w:val="0"/>
                <w:iCs w:val="0"/>
                <w:color w:val="000000"/>
                <w:sz w:val="21"/>
                <w:szCs w:val="21"/>
                <w:u w:val="none"/>
              </w:rPr>
            </w:pPr>
          </w:p>
        </w:tc>
      </w:tr>
      <w:tr w14:paraId="0A5E1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6FBF115E">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42340BDD">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47479BE7">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40D3E0C5">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8658988">
            <w:pPr>
              <w:rPr>
                <w:rFonts w:hint="eastAsia" w:ascii="宋体" w:hAnsi="宋体" w:eastAsia="宋体" w:cs="宋体"/>
                <w:i w:val="0"/>
                <w:iCs w:val="0"/>
                <w:color w:val="000000"/>
                <w:sz w:val="21"/>
                <w:szCs w:val="21"/>
                <w:u w:val="none"/>
              </w:rPr>
            </w:pPr>
          </w:p>
        </w:tc>
      </w:tr>
      <w:tr w14:paraId="23A8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76A3BD6F">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0696D360">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3CDA3F5C">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6551411D">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2EBC8BE0">
            <w:pPr>
              <w:rPr>
                <w:rFonts w:hint="eastAsia" w:ascii="宋体" w:hAnsi="宋体" w:eastAsia="宋体" w:cs="宋体"/>
                <w:i w:val="0"/>
                <w:iCs w:val="0"/>
                <w:color w:val="000000"/>
                <w:sz w:val="21"/>
                <w:szCs w:val="21"/>
                <w:u w:val="none"/>
              </w:rPr>
            </w:pPr>
          </w:p>
        </w:tc>
      </w:tr>
      <w:tr w14:paraId="2D341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noWrap/>
            <w:vAlign w:val="center"/>
          </w:tcPr>
          <w:p w14:paraId="56405FC5">
            <w:pPr>
              <w:rPr>
                <w:rFonts w:hint="eastAsia" w:ascii="宋体" w:hAnsi="宋体" w:eastAsia="宋体" w:cs="宋体"/>
                <w:i w:val="0"/>
                <w:iCs w:val="0"/>
                <w:color w:val="000000"/>
                <w:sz w:val="21"/>
                <w:szCs w:val="21"/>
                <w:u w:val="none"/>
              </w:rPr>
            </w:pPr>
          </w:p>
        </w:tc>
        <w:tc>
          <w:tcPr>
            <w:tcW w:w="1806" w:type="pct"/>
            <w:tcBorders>
              <w:top w:val="single" w:color="000000" w:sz="4" w:space="0"/>
              <w:left w:val="single" w:color="000000" w:sz="4" w:space="0"/>
              <w:bottom w:val="single" w:color="000000" w:sz="4" w:space="0"/>
              <w:right w:val="single" w:color="000000" w:sz="4" w:space="0"/>
            </w:tcBorders>
            <w:noWrap/>
            <w:vAlign w:val="center"/>
          </w:tcPr>
          <w:p w14:paraId="3723D6EF">
            <w:pPr>
              <w:rPr>
                <w:rFonts w:hint="eastAsia" w:ascii="宋体" w:hAnsi="宋体" w:eastAsia="宋体" w:cs="宋体"/>
                <w:i w:val="0"/>
                <w:iCs w:val="0"/>
                <w:color w:val="000000"/>
                <w:sz w:val="21"/>
                <w:szCs w:val="21"/>
                <w:u w:val="none"/>
              </w:rPr>
            </w:pPr>
          </w:p>
        </w:tc>
        <w:tc>
          <w:tcPr>
            <w:tcW w:w="628" w:type="pct"/>
            <w:tcBorders>
              <w:top w:val="single" w:color="000000" w:sz="4" w:space="0"/>
              <w:left w:val="single" w:color="000000" w:sz="4" w:space="0"/>
              <w:bottom w:val="single" w:color="000000" w:sz="4" w:space="0"/>
              <w:right w:val="single" w:color="000000" w:sz="4" w:space="0"/>
            </w:tcBorders>
            <w:noWrap/>
            <w:vAlign w:val="center"/>
          </w:tcPr>
          <w:p w14:paraId="15E78B74">
            <w:pPr>
              <w:rPr>
                <w:rFonts w:hint="eastAsia" w:ascii="宋体" w:hAnsi="宋体" w:eastAsia="宋体" w:cs="宋体"/>
                <w:i w:val="0"/>
                <w:iCs w:val="0"/>
                <w:color w:val="000000"/>
                <w:sz w:val="21"/>
                <w:szCs w:val="21"/>
                <w:u w:val="none"/>
              </w:rPr>
            </w:pPr>
          </w:p>
        </w:tc>
        <w:tc>
          <w:tcPr>
            <w:tcW w:w="863" w:type="pct"/>
            <w:tcBorders>
              <w:top w:val="single" w:color="000000" w:sz="4" w:space="0"/>
              <w:left w:val="single" w:color="000000" w:sz="4" w:space="0"/>
              <w:bottom w:val="single" w:color="000000" w:sz="4" w:space="0"/>
              <w:right w:val="single" w:color="000000" w:sz="4" w:space="0"/>
            </w:tcBorders>
            <w:noWrap/>
            <w:vAlign w:val="center"/>
          </w:tcPr>
          <w:p w14:paraId="07D6755B">
            <w:pPr>
              <w:rPr>
                <w:rFonts w:hint="eastAsia" w:ascii="宋体" w:hAnsi="宋体" w:eastAsia="宋体" w:cs="宋体"/>
                <w:i w:val="0"/>
                <w:iCs w:val="0"/>
                <w:color w:val="000000"/>
                <w:sz w:val="21"/>
                <w:szCs w:val="21"/>
                <w:u w:val="none"/>
              </w:rPr>
            </w:pPr>
          </w:p>
        </w:tc>
        <w:tc>
          <w:tcPr>
            <w:tcW w:w="1107" w:type="pct"/>
            <w:tcBorders>
              <w:top w:val="single" w:color="000000" w:sz="4" w:space="0"/>
              <w:left w:val="single" w:color="000000" w:sz="4" w:space="0"/>
              <w:bottom w:val="single" w:color="000000" w:sz="4" w:space="0"/>
              <w:right w:val="single" w:color="000000" w:sz="4" w:space="0"/>
            </w:tcBorders>
            <w:noWrap/>
            <w:vAlign w:val="center"/>
          </w:tcPr>
          <w:p w14:paraId="3118B9D0">
            <w:pPr>
              <w:rPr>
                <w:rFonts w:hint="eastAsia" w:ascii="宋体" w:hAnsi="宋体" w:eastAsia="宋体" w:cs="宋体"/>
                <w:i w:val="0"/>
                <w:iCs w:val="0"/>
                <w:color w:val="000000"/>
                <w:sz w:val="21"/>
                <w:szCs w:val="21"/>
                <w:u w:val="none"/>
              </w:rPr>
            </w:pPr>
          </w:p>
        </w:tc>
      </w:tr>
      <w:tr w14:paraId="75B9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4"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1D2BB4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检测单位：</w:t>
            </w:r>
            <w:r>
              <w:rPr>
                <w:rFonts w:hint="eastAsia" w:ascii="宋体" w:hAnsi="宋体" w:eastAsia="宋体" w:cs="宋体"/>
                <w:i w:val="0"/>
                <w:iCs w:val="0"/>
                <w:color w:val="000000"/>
                <w:kern w:val="0"/>
                <w:sz w:val="21"/>
                <w:szCs w:val="21"/>
                <w:u w:val="none"/>
                <w:lang w:val="en-US" w:eastAsia="zh-CN" w:bidi="ar"/>
              </w:rPr>
              <w:br w:type="textWrapping"/>
            </w:r>
          </w:p>
          <w:p w14:paraId="21DA8C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w:t>
            </w:r>
            <w:r>
              <w:rPr>
                <w:rFonts w:hint="eastAsia"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 xml:space="preserve">       项目负责人：     </w:t>
            </w:r>
            <w:r>
              <w:rPr>
                <w:rFonts w:hint="eastAsia"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 xml:space="preserve">  （章）   年   月   日  </w:t>
            </w:r>
          </w:p>
        </w:tc>
      </w:tr>
      <w:tr w14:paraId="41463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4"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CCA109F">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检测单位：</w:t>
            </w:r>
            <w:r>
              <w:rPr>
                <w:rFonts w:hint="eastAsia" w:ascii="宋体" w:hAnsi="宋体" w:eastAsia="宋体" w:cs="宋体"/>
                <w:i w:val="0"/>
                <w:iCs w:val="0"/>
                <w:color w:val="000000"/>
                <w:kern w:val="0"/>
                <w:sz w:val="21"/>
                <w:szCs w:val="21"/>
                <w:u w:val="none"/>
                <w:lang w:val="en-US" w:eastAsia="zh-CN" w:bidi="ar"/>
              </w:rPr>
              <w:br w:type="textWrapping"/>
            </w:r>
          </w:p>
          <w:p w14:paraId="38FF7B0A">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w:t>
            </w:r>
            <w:r>
              <w:rPr>
                <w:rFonts w:hint="eastAsia"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 xml:space="preserve">       项目负责人：        （章）   年   月   日 </w:t>
            </w:r>
          </w:p>
        </w:tc>
      </w:tr>
    </w:tbl>
    <w:p w14:paraId="02B11A21"/>
    <w:sectPr>
      <w:pgSz w:w="11906" w:h="16838"/>
      <w:pgMar w:top="1134" w:right="1083" w:bottom="113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66EE8">
    <w:pPr>
      <w:pStyle w:val="3"/>
      <w:tabs>
        <w:tab w:val="center" w:pos="4153"/>
        <w:tab w:val="right" w:pos="8306"/>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ECA4E">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6ECA4E">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14:paraId="7E0EA505">
    <w:pPr>
      <w:pStyle w:val="3"/>
      <w:tabs>
        <w:tab w:val="center" w:pos="4153"/>
        <w:tab w:val="right" w:pos="8306"/>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7C88">
    <w:pPr>
      <w:pStyle w:val="3"/>
      <w:tabs>
        <w:tab w:val="center" w:pos="4153"/>
        <w:tab w:val="right" w:pos="8306"/>
      </w:tabs>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1EE7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4F1EE7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E1481">
    <w:pPr>
      <w:pStyle w:val="3"/>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7EDC8">
                          <w:pPr>
                            <w:pStyle w:val="3"/>
                            <w:tabs>
                              <w:tab w:val="center" w:pos="4153"/>
                              <w:tab w:val="right" w:pos="8306"/>
                            </w:tabs>
                          </w:pPr>
                          <w:r>
                            <w:fldChar w:fldCharType="begin"/>
                          </w:r>
                          <w:r>
                            <w:instrText xml:space="preserve"> PAGE  \* MERGEFORMAT </w:instrText>
                          </w:r>
                          <w:r>
                            <w:fldChar w:fldCharType="separate"/>
                          </w:r>
                          <w:r>
                            <w:t>- 65 -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E27EDC8">
                    <w:pPr>
                      <w:pStyle w:val="3"/>
                      <w:tabs>
                        <w:tab w:val="center" w:pos="4153"/>
                        <w:tab w:val="right" w:pos="8306"/>
                      </w:tabs>
                    </w:pPr>
                    <w:r>
                      <w:fldChar w:fldCharType="begin"/>
                    </w:r>
                    <w:r>
                      <w:instrText xml:space="preserve"> PAGE  \* MERGEFORMAT </w:instrText>
                    </w:r>
                    <w:r>
                      <w:fldChar w:fldCharType="separate"/>
                    </w:r>
                    <w:r>
                      <w:t>- 65 -</w:t>
                    </w:r>
                    <w:r>
                      <w:fldChar w:fldCharType="end"/>
                    </w:r>
                  </w:p>
                </w:txbxContent>
              </v:textbox>
            </v:shape>
          </w:pict>
        </mc:Fallback>
      </mc:AlternateContent>
    </w:r>
  </w:p>
  <w:p w14:paraId="3819BFC2">
    <w:pPr>
      <w:pStyle w:val="3"/>
      <w:tabs>
        <w:tab w:val="center" w:pos="4153"/>
        <w:tab w:val="right" w:pos="8306"/>
      </w:tabs>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6C3273"/>
    <w:rsid w:val="216C3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2026-02-28T05:46:00Z</dcterms:created>
  <dc:creator>哆啦</dc:creator>
  <cp:lastModifiedBy>哆啦</cp:lastModifiedBy>
  <dcterms:modified xsi:type="dcterms:W3CDTF">2026-02-28T05:48:24Z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379A4973B45242CD9F35DDD5FFF8ECC2_11</vt:lpwstr>
  </property>
  <property fmtid="{D5CDD505-2E9C-101B-9397-08002B2CF9AE}" pid="4" name="KSOTemplateDocerSaveRecord">
    <vt:lpwstr>eyJoZGlkIjoiZjVmMDA1NTM1N2VlYTBlZDI4ZWZkYmQ2Zjg1NzU5NDQiLCJ1c2VySWQiOiI1OTYzODM3NjIifQ==</vt:lpwstr>
  </property>
</Properties>
</file>