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版本号：CGZC-2026-01620260228001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浐灞国际港公益性骨灰堂运营管理服务项目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CGZC-2026-016</w:t>
      </w:r>
      <w:r>
        <w:br/>
      </w:r>
      <w:r>
        <w:br/>
      </w:r>
      <w:r>
        <w:br/>
      </w:r>
    </w:p>
    <w:p>
      <w:pPr>
        <w:pStyle w:val="null3"/>
        <w:jc w:val="center"/>
        <w:outlineLvl w:val="2"/>
      </w:pPr>
      <w:r>
        <w:rPr>
          <w:rFonts w:ascii="仿宋_GB2312" w:hAnsi="仿宋_GB2312" w:cs="仿宋_GB2312" w:eastAsia="仿宋_GB2312"/>
          <w:sz w:val="28"/>
          <w:b/>
        </w:rPr>
        <w:t>西安浐灞国际港公共服务局</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西安浐灞国际港公共服务局</w:t>
      </w:r>
      <w:r>
        <w:rPr>
          <w:rFonts w:ascii="仿宋_GB2312" w:hAnsi="仿宋_GB2312" w:cs="仿宋_GB2312" w:eastAsia="仿宋_GB2312"/>
        </w:rPr>
        <w:t>委托，拟对</w:t>
      </w:r>
      <w:r>
        <w:rPr>
          <w:rFonts w:ascii="仿宋_GB2312" w:hAnsi="仿宋_GB2312" w:cs="仿宋_GB2312" w:eastAsia="仿宋_GB2312"/>
        </w:rPr>
        <w:t>浐灞国际港公益性骨灰堂运营管理服务项目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浐灞国际港公益性骨灰堂运营管理服务项目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浐灞国际港公益性骨灰堂位于欧亚大道以东，铁路北环线以南，占地约55亩，是浐灞国际港重要的公共服务设施。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采购包1（浐灞国际港公益性骨灰堂运营管理服务项目）：属于专门面向中小企业采购。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1、法定代表人授权书/法定代表人身份证明：法定代表人授权书（附法定代表人、被授权人身份证复印件）（法定代表人直接参加磋商，须提供法定代表人身份证明）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西安浐灞国际港公共服务局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029-83521307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029-83596064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代理服务费收费标准：1、代理服务费：以成交金额为基数，参照国家计委颁发的《招标代理服务收费管理暂行办法》（计价格〔2002〕1980号）和财政部颁发的《政府采购代理机构管理暂行办法》 （财库〔2018〕2号）的有关规定执行。 2、代理服务费由成交供应商支付，在领取《成交通知书》前，由成交供应商一次性支付给陕西纵横项目管理有限公司。 3、代理服务费缴纳账户： 开户名称：陕西纵横项目管理有限公司 开户银行：浙商银行股份有限公司西安未央路支行 账号：7910000610120100029478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西安浐灞国际港公共服务局</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西安浐灞国际港公共服务局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西安浐灞国际港公共服务局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联系人：曹工</w:t>
      </w:r>
    </w:p>
    <w:p>
      <w:pPr>
        <w:pStyle w:val="null3"/>
      </w:pPr>
      <w:r>
        <w:rPr>
          <w:rFonts w:ascii="仿宋_GB2312" w:hAnsi="仿宋_GB2312" w:cs="仿宋_GB2312" w:eastAsia="仿宋_GB2312"/>
        </w:rPr>
        <w:t>联系电话：029-86252018（转805）</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浐灞国际港公益性骨灰堂位于欧亚大道以东，铁路北环线以南，占地约55亩，是浐灞国际港重要的公共服务设施。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其他运营服务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标的名称：其他运营服务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一、项目概况</w:t>
            </w:r>
          </w:p>
          <w:p>
            <w:pPr>
              <w:pStyle w:val="null3"/>
              <w:ind w:firstLine="420"/>
              <w:jc w:val="left"/>
            </w:pPr>
            <w:r>
              <w:rPr>
                <w:rFonts w:ascii="仿宋_GB2312" w:hAnsi="仿宋_GB2312" w:cs="仿宋_GB2312" w:eastAsia="仿宋_GB2312"/>
                <w:sz w:val="21"/>
              </w:rPr>
              <w:t>浐灞国际港公益性骨灰堂位于欧亚大道以东，铁路北环线以南，占地约</w:t>
            </w:r>
            <w:r>
              <w:rPr>
                <w:rFonts w:ascii="仿宋_GB2312" w:hAnsi="仿宋_GB2312" w:cs="仿宋_GB2312" w:eastAsia="仿宋_GB2312"/>
                <w:sz w:val="21"/>
              </w:rPr>
              <w:t>55亩，是浐灞国际港重要的公共服务设施。</w:t>
            </w:r>
          </w:p>
          <w:p>
            <w:pPr>
              <w:pStyle w:val="null3"/>
              <w:ind w:firstLine="422"/>
              <w:jc w:val="left"/>
            </w:pPr>
            <w:r>
              <w:rPr>
                <w:rFonts w:ascii="仿宋_GB2312" w:hAnsi="仿宋_GB2312" w:cs="仿宋_GB2312" w:eastAsia="仿宋_GB2312"/>
                <w:sz w:val="21"/>
                <w:b/>
              </w:rPr>
              <w:t>二、服务内容（包括工作区域、工作内容等）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1）本服务规划红线内属管理范围的</w:t>
            </w:r>
            <w:r>
              <w:rPr>
                <w:rFonts w:ascii="仿宋_GB2312" w:hAnsi="仿宋_GB2312" w:cs="仿宋_GB2312" w:eastAsia="仿宋_GB2312"/>
                <w:sz w:val="21"/>
              </w:rPr>
              <w:t>（</w:t>
            </w:r>
            <w:r>
              <w:rPr>
                <w:rFonts w:ascii="仿宋_GB2312" w:hAnsi="仿宋_GB2312" w:cs="仿宋_GB2312" w:eastAsia="仿宋_GB2312"/>
                <w:sz w:val="21"/>
              </w:rPr>
              <w:t>道路、室外上下水管道、化粪池、沟渠、池、井、绿化、室外泵房、路灯、自行车房棚、停车场</w:t>
            </w:r>
            <w:r>
              <w:rPr>
                <w:rFonts w:ascii="仿宋_GB2312" w:hAnsi="仿宋_GB2312" w:cs="仿宋_GB2312" w:eastAsia="仿宋_GB2312"/>
                <w:sz w:val="21"/>
              </w:rPr>
              <w:t>）</w:t>
            </w:r>
            <w:r>
              <w:rPr>
                <w:rFonts w:ascii="仿宋_GB2312" w:hAnsi="仿宋_GB2312" w:cs="仿宋_GB2312" w:eastAsia="仿宋_GB2312"/>
                <w:sz w:val="21"/>
              </w:rPr>
              <w:t>日常维修、养护和管理。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2）房屋建筑本体设施设备</w:t>
            </w:r>
            <w:r>
              <w:rPr>
                <w:rFonts w:ascii="仿宋_GB2312" w:hAnsi="仿宋_GB2312" w:cs="仿宋_GB2312" w:eastAsia="仿宋_GB2312"/>
                <w:sz w:val="21"/>
              </w:rPr>
              <w:t>（</w:t>
            </w:r>
            <w:r>
              <w:rPr>
                <w:rFonts w:ascii="仿宋_GB2312" w:hAnsi="仿宋_GB2312" w:cs="仿宋_GB2312" w:eastAsia="仿宋_GB2312"/>
                <w:sz w:val="21"/>
              </w:rPr>
              <w:t>共用的上下水管道、落水管、垃圾道、烟囱、共用照明、天线、中央空调、暖气干线、供暖锅炉房、加压供水设备、配电系统、楼内消防设施设备、电梯、中水系统等</w:t>
            </w:r>
            <w:r>
              <w:rPr>
                <w:rFonts w:ascii="仿宋_GB2312" w:hAnsi="仿宋_GB2312" w:cs="仿宋_GB2312" w:eastAsia="仿宋_GB2312"/>
                <w:sz w:val="21"/>
              </w:rPr>
              <w:t>）</w:t>
            </w:r>
            <w:r>
              <w:rPr>
                <w:rFonts w:ascii="仿宋_GB2312" w:hAnsi="仿宋_GB2312" w:cs="仿宋_GB2312" w:eastAsia="仿宋_GB2312"/>
                <w:sz w:val="21"/>
              </w:rPr>
              <w:t>的维修、养护、管理和运行服务。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3）公共环境</w:t>
            </w:r>
            <w:r>
              <w:rPr>
                <w:rFonts w:ascii="仿宋_GB2312" w:hAnsi="仿宋_GB2312" w:cs="仿宋_GB2312" w:eastAsia="仿宋_GB2312"/>
                <w:sz w:val="21"/>
              </w:rPr>
              <w:t>（</w:t>
            </w:r>
            <w:r>
              <w:rPr>
                <w:rFonts w:ascii="仿宋_GB2312" w:hAnsi="仿宋_GB2312" w:cs="仿宋_GB2312" w:eastAsia="仿宋_GB2312"/>
                <w:sz w:val="21"/>
              </w:rPr>
              <w:t>包括公共场地、房屋建筑物共用部位</w:t>
            </w:r>
            <w:r>
              <w:rPr>
                <w:rFonts w:ascii="仿宋_GB2312" w:hAnsi="仿宋_GB2312" w:cs="仿宋_GB2312" w:eastAsia="仿宋_GB2312"/>
                <w:sz w:val="21"/>
              </w:rPr>
              <w:t>）</w:t>
            </w:r>
            <w:r>
              <w:rPr>
                <w:rFonts w:ascii="仿宋_GB2312" w:hAnsi="仿宋_GB2312" w:cs="仿宋_GB2312" w:eastAsia="仿宋_GB2312"/>
                <w:sz w:val="21"/>
              </w:rPr>
              <w:t>的清洁卫生、垃圾的收集、清运。</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4）交通、车辆行驶及室内外停车场管理。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5）负责园内安全监控和巡视等安保工作及全部安全生产责任</w:t>
            </w:r>
            <w:r>
              <w:rPr>
                <w:rFonts w:ascii="仿宋_GB2312" w:hAnsi="仿宋_GB2312" w:cs="仿宋_GB2312" w:eastAsia="仿宋_GB2312"/>
                <w:sz w:val="21"/>
              </w:rPr>
              <w:t>（</w:t>
            </w:r>
            <w:r>
              <w:rPr>
                <w:rFonts w:ascii="仿宋_GB2312" w:hAnsi="仿宋_GB2312" w:cs="仿宋_GB2312" w:eastAsia="仿宋_GB2312"/>
                <w:sz w:val="21"/>
              </w:rPr>
              <w:t>包含人身、私有财产保险保管等所有责任</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6）负责骨灰纪念堂骨灰存放运营管理工作，重点做好清明节、寒衣节等重要节日服务保障工作。</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7）负责保管存放档案等资料。</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8）负责互联网服务平台建设、运行及日常管理等工作，推行信息化建设</w:t>
            </w:r>
            <w:r>
              <w:rPr>
                <w:rFonts w:ascii="仿宋_GB2312" w:hAnsi="仿宋_GB2312" w:cs="仿宋_GB2312" w:eastAsia="仿宋_GB2312"/>
                <w:sz w:val="21"/>
              </w:rPr>
              <w:t>，</w:t>
            </w:r>
            <w:r>
              <w:rPr>
                <w:rFonts w:ascii="仿宋_GB2312" w:hAnsi="仿宋_GB2312" w:cs="仿宋_GB2312" w:eastAsia="仿宋_GB2312"/>
                <w:sz w:val="21"/>
              </w:rPr>
              <w:t>应用陕西智慧民政殡葬系统。</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9）负责开展殡葬改革宣传，推进移风易俗等宣传工作，推动殡葬改革。</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采购人</w:t>
            </w:r>
            <w:r>
              <w:rPr>
                <w:rFonts w:ascii="仿宋_GB2312" w:hAnsi="仿宋_GB2312" w:cs="仿宋_GB2312" w:eastAsia="仿宋_GB2312"/>
                <w:sz w:val="21"/>
              </w:rPr>
              <w:t>指定的其他与该项目有关事项。</w:t>
            </w:r>
          </w:p>
          <w:p>
            <w:pPr>
              <w:pStyle w:val="null3"/>
              <w:ind w:firstLine="422"/>
              <w:jc w:val="left"/>
            </w:pPr>
            <w:r>
              <w:rPr>
                <w:rFonts w:ascii="仿宋_GB2312" w:hAnsi="仿宋_GB2312" w:cs="仿宋_GB2312" w:eastAsia="仿宋_GB2312"/>
                <w:sz w:val="21"/>
                <w:b/>
              </w:rPr>
              <w:t>三、服务要求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1）人员要求</w:t>
            </w:r>
          </w:p>
          <w:p>
            <w:pPr>
              <w:pStyle w:val="null3"/>
              <w:ind w:firstLine="420"/>
              <w:jc w:val="left"/>
            </w:pPr>
            <w:r>
              <w:rPr>
                <w:rFonts w:ascii="仿宋_GB2312" w:hAnsi="仿宋_GB2312" w:cs="仿宋_GB2312" w:eastAsia="仿宋_GB2312"/>
                <w:sz w:val="21"/>
              </w:rPr>
              <w:t>人员配备最低为</w:t>
            </w:r>
            <w:r>
              <w:rPr>
                <w:rFonts w:ascii="仿宋_GB2312" w:hAnsi="仿宋_GB2312" w:cs="仿宋_GB2312" w:eastAsia="仿宋_GB2312"/>
                <w:sz w:val="21"/>
              </w:rPr>
              <w:t>12人</w:t>
            </w:r>
            <w:r>
              <w:rPr>
                <w:rFonts w:ascii="仿宋_GB2312" w:hAnsi="仿宋_GB2312" w:cs="仿宋_GB2312" w:eastAsia="仿宋_GB2312"/>
                <w:sz w:val="21"/>
              </w:rPr>
              <w:t>（</w:t>
            </w:r>
            <w:r>
              <w:rPr>
                <w:rFonts w:ascii="仿宋_GB2312" w:hAnsi="仿宋_GB2312" w:cs="仿宋_GB2312" w:eastAsia="仿宋_GB2312"/>
                <w:sz w:val="21"/>
              </w:rPr>
              <w:t>其中项目经理</w:t>
            </w:r>
            <w:r>
              <w:rPr>
                <w:rFonts w:ascii="仿宋_GB2312" w:hAnsi="仿宋_GB2312" w:cs="仿宋_GB2312" w:eastAsia="仿宋_GB2312"/>
                <w:sz w:val="21"/>
              </w:rPr>
              <w:t>1名、办公室1名、客服1名、工程维修1名、秩序维护员6名、保洁员2名</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2）管理要求</w:t>
            </w:r>
          </w:p>
          <w:p>
            <w:pPr>
              <w:pStyle w:val="null3"/>
              <w:ind w:firstLine="420"/>
              <w:jc w:val="left"/>
            </w:pPr>
            <w:r>
              <w:rPr>
                <w:rFonts w:ascii="仿宋_GB2312" w:hAnsi="仿宋_GB2312" w:cs="仿宋_GB2312" w:eastAsia="仿宋_GB2312"/>
                <w:sz w:val="21"/>
              </w:rPr>
              <w:t>1、建立质量管理体系，健全各项管理制度，明确岗位职责、岗位工作标准，落实奖罚措施及考核办法。</w:t>
            </w:r>
          </w:p>
          <w:p>
            <w:pPr>
              <w:pStyle w:val="null3"/>
              <w:ind w:firstLine="420"/>
              <w:jc w:val="left"/>
            </w:pPr>
            <w:r>
              <w:rPr>
                <w:rFonts w:ascii="仿宋_GB2312" w:hAnsi="仿宋_GB2312" w:cs="仿宋_GB2312" w:eastAsia="仿宋_GB2312"/>
                <w:sz w:val="21"/>
              </w:rPr>
              <w:t>2、公开服务标准、公示服务、监督联系电话。</w:t>
            </w:r>
          </w:p>
          <w:p>
            <w:pPr>
              <w:pStyle w:val="null3"/>
              <w:ind w:firstLine="420"/>
              <w:jc w:val="left"/>
            </w:pPr>
            <w:r>
              <w:rPr>
                <w:rFonts w:ascii="仿宋_GB2312" w:hAnsi="仿宋_GB2312" w:cs="仿宋_GB2312" w:eastAsia="仿宋_GB2312"/>
                <w:sz w:val="21"/>
              </w:rPr>
              <w:t>3、所有员工统一着装，佩带标志，规范标准服务用语。</w:t>
            </w:r>
          </w:p>
          <w:p>
            <w:pPr>
              <w:pStyle w:val="null3"/>
              <w:ind w:firstLine="420"/>
              <w:jc w:val="left"/>
            </w:pPr>
            <w:r>
              <w:rPr>
                <w:rFonts w:ascii="仿宋_GB2312" w:hAnsi="仿宋_GB2312" w:cs="仿宋_GB2312" w:eastAsia="仿宋_GB2312"/>
                <w:sz w:val="21"/>
              </w:rPr>
              <w:t>4、员工录用必须符合入职政审的相关规定，无犯罪记录。凡国家有关法规规定需持证上岗的，都应具有相应法规规定有效资格证书。</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配合做好各类检查、审计等工作，规范管理和使用政府购买服务项目资金，依照有关规定提供资料信息</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3）环境卫生</w:t>
            </w:r>
          </w:p>
          <w:p>
            <w:pPr>
              <w:pStyle w:val="null3"/>
              <w:ind w:firstLine="420"/>
              <w:jc w:val="left"/>
            </w:pPr>
            <w:r>
              <w:rPr>
                <w:rFonts w:ascii="仿宋_GB2312" w:hAnsi="仿宋_GB2312" w:cs="仿宋_GB2312" w:eastAsia="仿宋_GB2312"/>
                <w:sz w:val="21"/>
              </w:rPr>
              <w:t>1、公共区域地面及附属物:每日两扫，全天保洁，地面干净整洁，无卫生死角，地面洁净显光泽；无灰尘、无废弃物、无污迹、无痰迹、无水渍及粘附物、无垃圾、无烟头、无泥沙等；</w:t>
            </w:r>
          </w:p>
          <w:p>
            <w:pPr>
              <w:pStyle w:val="null3"/>
              <w:ind w:firstLine="420"/>
              <w:jc w:val="left"/>
            </w:pPr>
            <w:r>
              <w:rPr>
                <w:rFonts w:ascii="仿宋_GB2312" w:hAnsi="仿宋_GB2312" w:cs="仿宋_GB2312" w:eastAsia="仿宋_GB2312"/>
                <w:sz w:val="21"/>
              </w:rPr>
              <w:t>2、公共区域的门窗、玻璃:每月擦洗一次公共区域内非高空区的门窗、玻璃；</w:t>
            </w:r>
          </w:p>
          <w:p>
            <w:pPr>
              <w:pStyle w:val="null3"/>
              <w:ind w:firstLine="420"/>
              <w:jc w:val="left"/>
            </w:pPr>
            <w:r>
              <w:rPr>
                <w:rFonts w:ascii="仿宋_GB2312" w:hAnsi="仿宋_GB2312" w:cs="仿宋_GB2312" w:eastAsia="仿宋_GB2312"/>
                <w:sz w:val="21"/>
              </w:rPr>
              <w:t>3、公共区域卫生间:清扫卫生间内所有设施设备，保证卫生间无异味。洗手盆，台面，镜面每天清洁-次；每个格挡内的垃圾桶每天倒至少两次，随满随倒；地面每天拖两次；门板及拉手每天擦一次；</w:t>
            </w:r>
          </w:p>
          <w:p>
            <w:pPr>
              <w:pStyle w:val="null3"/>
              <w:ind w:firstLine="420"/>
              <w:jc w:val="left"/>
            </w:pPr>
            <w:r>
              <w:rPr>
                <w:rFonts w:ascii="仿宋_GB2312" w:hAnsi="仿宋_GB2312" w:cs="仿宋_GB2312" w:eastAsia="仿宋_GB2312"/>
                <w:sz w:val="21"/>
              </w:rPr>
              <w:t>4、楼梯扶手、楼梯下区域:每天擦洗一次，及时发现并清理楼梯下堆放的杂物、垃圾；楼梯扶手干净无灰尘，无污物。</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4）秩序维护</w:t>
            </w:r>
          </w:p>
          <w:p>
            <w:pPr>
              <w:pStyle w:val="null3"/>
              <w:ind w:firstLine="420"/>
              <w:jc w:val="left"/>
            </w:pPr>
            <w:r>
              <w:rPr>
                <w:rFonts w:ascii="仿宋_GB2312" w:hAnsi="仿宋_GB2312" w:cs="仿宋_GB2312" w:eastAsia="仿宋_GB2312"/>
                <w:sz w:val="21"/>
              </w:rPr>
              <w:t>1、工作中需着装整齐、精神饱满的负责本职位值勤工作，上班务必严守工作纪律；</w:t>
            </w:r>
          </w:p>
          <w:p>
            <w:pPr>
              <w:pStyle w:val="null3"/>
              <w:ind w:firstLine="420"/>
              <w:jc w:val="left"/>
            </w:pPr>
            <w:r>
              <w:rPr>
                <w:rFonts w:ascii="仿宋_GB2312" w:hAnsi="仿宋_GB2312" w:cs="仿宋_GB2312" w:eastAsia="仿宋_GB2312"/>
                <w:sz w:val="21"/>
              </w:rPr>
              <w:t>2、坚守本职岗位，文明规范执勤，保持良好仪表仪容与精神状态；</w:t>
            </w:r>
          </w:p>
          <w:p>
            <w:pPr>
              <w:pStyle w:val="null3"/>
              <w:ind w:firstLine="420"/>
              <w:jc w:val="left"/>
            </w:pPr>
            <w:r>
              <w:rPr>
                <w:rFonts w:ascii="仿宋_GB2312" w:hAnsi="仿宋_GB2312" w:cs="仿宋_GB2312" w:eastAsia="仿宋_GB2312"/>
                <w:sz w:val="21"/>
              </w:rPr>
              <w:t>3、有人员及车辆的来访、出入记录，并严格按照疫情防控要求进行检查；</w:t>
            </w:r>
          </w:p>
          <w:p>
            <w:pPr>
              <w:pStyle w:val="null3"/>
              <w:ind w:firstLine="420"/>
              <w:jc w:val="left"/>
            </w:pPr>
            <w:r>
              <w:rPr>
                <w:rFonts w:ascii="仿宋_GB2312" w:hAnsi="仿宋_GB2312" w:cs="仿宋_GB2312" w:eastAsia="仿宋_GB2312"/>
                <w:sz w:val="21"/>
              </w:rPr>
              <w:t>4、执勤需进行巡查，巡逻人员在工作守则的指导下，在规定时间按照规定路线进行巡视，在遇到突发情况时按照应急要求进行处理。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5）工程维修</w:t>
            </w:r>
          </w:p>
          <w:p>
            <w:pPr>
              <w:pStyle w:val="null3"/>
              <w:ind w:firstLine="420"/>
              <w:jc w:val="left"/>
            </w:pPr>
            <w:r>
              <w:rPr>
                <w:rFonts w:ascii="仿宋_GB2312" w:hAnsi="仿宋_GB2312" w:cs="仿宋_GB2312" w:eastAsia="仿宋_GB2312"/>
                <w:sz w:val="21"/>
              </w:rPr>
              <w:t>1、设施设备运行良好，有运行记录；有保养、检修制度，并在工作场所明示。</w:t>
            </w:r>
          </w:p>
          <w:p>
            <w:pPr>
              <w:pStyle w:val="null3"/>
              <w:ind w:firstLine="420"/>
              <w:jc w:val="left"/>
            </w:pPr>
            <w:r>
              <w:rPr>
                <w:rFonts w:ascii="仿宋_GB2312" w:hAnsi="仿宋_GB2312" w:cs="仿宋_GB2312" w:eastAsia="仿宋_GB2312"/>
                <w:sz w:val="21"/>
              </w:rPr>
              <w:t>2、设备运行严格执行操作规程，无重大管理责任事故。有突发事件应急处理措施和处理记录。</w:t>
            </w:r>
          </w:p>
          <w:p>
            <w:pPr>
              <w:pStyle w:val="null3"/>
              <w:ind w:firstLine="420"/>
              <w:jc w:val="left"/>
            </w:pPr>
            <w:r>
              <w:rPr>
                <w:rFonts w:ascii="仿宋_GB2312" w:hAnsi="仿宋_GB2312" w:cs="仿宋_GB2312" w:eastAsia="仿宋_GB2312"/>
                <w:sz w:val="21"/>
              </w:rPr>
              <w:t>3、维修人员每日对公用设施设备进行巡视，并有巡检记录。</w:t>
            </w:r>
          </w:p>
          <w:p>
            <w:pPr>
              <w:pStyle w:val="null3"/>
              <w:ind w:firstLine="420"/>
              <w:jc w:val="left"/>
            </w:pPr>
            <w:r>
              <w:rPr>
                <w:rFonts w:ascii="仿宋_GB2312" w:hAnsi="仿宋_GB2312" w:cs="仿宋_GB2312" w:eastAsia="仿宋_GB2312"/>
                <w:sz w:val="21"/>
              </w:rPr>
              <w:t>4、为了节约用电，办公楼灯光按规定时间开关。</w:t>
            </w:r>
          </w:p>
          <w:p>
            <w:pPr>
              <w:pStyle w:val="null3"/>
              <w:ind w:firstLine="422"/>
              <w:jc w:val="left"/>
            </w:pPr>
            <w:r>
              <w:rPr>
                <w:rFonts w:ascii="仿宋_GB2312" w:hAnsi="仿宋_GB2312" w:cs="仿宋_GB2312" w:eastAsia="仿宋_GB2312"/>
                <w:sz w:val="21"/>
                <w:b/>
              </w:rPr>
              <w:t>四、技术要求</w:t>
            </w:r>
          </w:p>
          <w:p>
            <w:pPr>
              <w:pStyle w:val="null3"/>
              <w:ind w:firstLine="422"/>
              <w:jc w:val="left"/>
            </w:pPr>
            <w:r>
              <w:rPr>
                <w:rFonts w:ascii="仿宋_GB2312" w:hAnsi="仿宋_GB2312" w:cs="仿宋_GB2312" w:eastAsia="仿宋_GB2312"/>
                <w:sz w:val="21"/>
              </w:rPr>
              <w:t>符合国家法律法规规定的标准、采购文件和供应商响应文件所要求的技术标准。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1.考核验收每半年进行一次，由采购人负责考核验收，考核形式采取定期考核。 2.考核内容主要为合同履行率，具体包括学习教育、安葬服务、档案管理、安全生产等。实行百分制，采取现场检查、查阅工作资料、实地调查等方式进行，根据考核情况进行综合评定，80分（含）以上为合格 80分以下为不合格。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金额分两次支付，每半年支付一次。每次支付的金额分为基础部分和浮动部分，基础部分为合同金额的42.5%，浮动部分为合同金额的7.5%。基础部分每次验收完成后全额支付。当次考核验收合格，浮动部分全额支付；若考核验收不合格，浮动部分不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金额分两次支付，每半年支付一次。每次支付的金额分为基础部分和浮动部分，基础部分为合同金额的42.5%，浮动部分为合同金额的7.5%。基础部分每次验收完成后全额支付。当次考核验收合格，浮动部分全额支付；若考核验收不合格，浮动部分不予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执行。2、违约终止合同：因乙方未按合同要求提供服务或服务质量不能满足技术要求，甲方会同监督机构有权终止合同，对乙方违约行为进行追究，同时按政府采购法的有关规定进行相应的处罚。 争议解决：合同执行中发生争议的，当事人双方应协商解决。协商达不成一致时，可向有管辖权的人民法院提起诉讼。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磋商报价是供应商应在磋商报价表中标明完成本项目所要求内容且验收合格的所有费用，总价包括但不限于人工费、维修费、材料费、管理费、采购代理服务费、资料费、利润、税金及不可预见费等全部费用。任何有选择的报价将不予接受，否则按无效磋商处理。 （2）项目属性：服务。 （3）本项目所属行业为：其他未列明行业，根据《工业和信息化部 国家统计局国家发展和改革委员会 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（6）若为被授权人参加投标，投标文件中需提供被授权人在本单位的社保证明材料。 （7）磋商中出现下列情形之一的，磋商小组应当启动异常低价投标(响应)审查程序: 1.投标(响应)报价低于全部通过符合性审查供应商投标(响应)报价平均值50%的，即投标(响应)报价〈全部通过符合性审查供应商投标(响应)报价平均值X50%; 2.投标(响应)报价低于通过符合性审查的次低报价供应商投标(响应)报价50%的，即投标(响应)报价〈通过符合性审查的次低报价供应商投标(响应)报价X50%; 3.投标(响应)报价低于采购项目最高限价45%的，即投标(响应)报价&lt;采购项目最高限价X45%; 4.磋商小组基于专业判断，认为供应商报价过低，有可能影响产品质量或者不能诚信履约的其他情形。 磋商小组启动异常低价投际(响应)审查后，属于前述第1项至第4项情形的，应当要求相关供应商在30分钟内对投标(响应)价格作出解释，提供项目具体成本测算等与报价合理性相关的书面说明及必要的证明材料，包括但不限于原材科成本、人工成本、制造费用等。其中，属于第3项情形，供应商已随投标(响应)文件一并提交相关书面说明及必要的证明材科的，在评审现场可不再重复提交。 磋商小组依据专业经验，参考同类项目中标(成交)价格、关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2、提供磋商截止时间前6个月内任意时段的依法缴纳税收的相关凭据（时间以税款所属日期为准），依法免税或无须缴纳税收的供应商应提供相关证明材料；3、提供磋商截止时间前6个月内任意时段的社会保障资金的相关材料，依法不需要缴纳社会保障金的供应商，需具有社保部门出具的证明文件；4、提供具有履行合同所必需的设备和专业技术能力的承诺；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或2025年度经审计的财务会计报告（至少包括审计报告、资产负债表和利润表，成立时间至提交磋商响应文件截止时间不足一年的可提供成立后任意时段的资产负债表）或提供开标日期前三个月内其基本存款账户开户银行出具的资信证明（需附供应商开户许可证（或基本存款账户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分项报价表 中小企业声明函 业绩 商务条款偏离表 磋商方案说明书 响应文件封面 资格证明文件 残疾人福利性单位声明函 其它说明 标的清单 陕西省政府采购供应商拒绝政府采购领域商业贿赂承诺书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商务条款偏离表 磋商方案说明书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商务条款偏离表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应满足竞争性磋商文件中要求的服务地点</w:t>
            </w:r>
          </w:p>
        </w:tc>
        <w:tc>
          <w:tcPr>
            <w:tcW w:type="dxa" w:w="1661"/>
          </w:tcPr>
          <w:p>
            <w:pPr>
              <w:pStyle w:val="null3"/>
            </w:pPr>
            <w:r>
              <w:rPr>
                <w:rFonts w:ascii="仿宋_GB2312" w:hAnsi="仿宋_GB2312" w:cs="仿宋_GB2312" w:eastAsia="仿宋_GB2312"/>
              </w:rPr>
              <w:t>标的清单 商务条款偏离表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环境卫生管理</w:t>
            </w:r>
          </w:p>
        </w:tc>
        <w:tc>
          <w:tcPr>
            <w:tcW w:type="dxa" w:w="2492"/>
          </w:tcPr>
          <w:p>
            <w:pPr>
              <w:pStyle w:val="null3"/>
            </w:pPr>
            <w:r>
              <w:rPr>
                <w:rFonts w:ascii="仿宋_GB2312" w:hAnsi="仿宋_GB2312" w:cs="仿宋_GB2312" w:eastAsia="仿宋_GB2312"/>
              </w:rPr>
              <w:t>一、评审内容 针对本项目提供环境卫生管理方案，内容包括：①各个环境区域的环卫、保洁；②环境消杀；③四害防治；④垃圾清运。 二、评审标准 1、完整性：方案必须全面，对评审内容有详细描述； 2、可实施性：切合本项目实际情况，内容清晰、有可实施性。； 3、针对性：方案能够紧扣项目实际情况，内容科学合理。 三、赋分标准 ①各个环境区域的环卫、保洁：每完全满足一个评审标准得0.5分，满分1.5分； ②环境消杀:每完全满足一个评审标准得0.5分，满分1.5分； ③四害防治:每完全满足一个评审标准得0.5分，满分1.5分； ④垃圾清运:每完全满足一个评审标准得0.5分，满分1.5分。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秩序维护管理</w:t>
            </w:r>
          </w:p>
        </w:tc>
        <w:tc>
          <w:tcPr>
            <w:tcW w:type="dxa" w:w="2492"/>
          </w:tcPr>
          <w:p>
            <w:pPr>
              <w:pStyle w:val="null3"/>
            </w:pPr>
            <w:r>
              <w:rPr>
                <w:rFonts w:ascii="仿宋_GB2312" w:hAnsi="仿宋_GB2312" w:cs="仿宋_GB2312" w:eastAsia="仿宋_GB2312"/>
              </w:rPr>
              <w:t>一、评审内容 针对本项目提供秩序维护管理方案，内容包括：①对出入人员、车辆进行登记和有序指引；②定时巡查；③秩序维护；④突发事件处置。 二、评审标准 1、完整性：方案必须全面，对评审内容有详细描述； 2、可实施性：切合本项目实际情况，内容清晰、有可实施性。； 3、针对性：方案能够紧扣项目实际情况，内容科学合理。 三、赋分标准 ①对出入人员、车辆进行登记和有序指引：每完全满足一个评审标准得0.5分，满分1.5分； ②定时巡查:每完全满足一个评审标准得0.5分，满分1.5分； ③秩序维护:每完全满足一个评审标准得0.5分，满分1.5分； ④突发事件处置:每完全满足一个评审标准得0.5分，满分1.5分。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工程维修管理</w:t>
            </w:r>
          </w:p>
        </w:tc>
        <w:tc>
          <w:tcPr>
            <w:tcW w:type="dxa" w:w="2492"/>
          </w:tcPr>
          <w:p>
            <w:pPr>
              <w:pStyle w:val="null3"/>
            </w:pPr>
            <w:r>
              <w:rPr>
                <w:rFonts w:ascii="仿宋_GB2312" w:hAnsi="仿宋_GB2312" w:cs="仿宋_GB2312" w:eastAsia="仿宋_GB2312"/>
              </w:rPr>
              <w:t>一、评审内容 针对本项目提供工程维修管理方案，内容包括：①供电设施的管理和维修；②门窗设备的管理和维修；③水房厕所设施的管理和维修；④直饮水机的管理和维修；⑤照明设备的管理和维修；⑥安全应急设施的管理和维修。 二、评审标准 1、完整性：方案必须全面，对评审内容有详细描述； 2、可实施性：切合本项目实际情况，内容清晰、有可实施性。； 3、针对性：方案能够紧扣项目实际情况，内容科学合理。 三、赋分标准 ①供电设施的管理和维修：每完全满足一个评审标准得0.5分，满分1.5分； ②门窗设备的管理和维修:每完全满足一个评审标准得0.5分，满分1.5分； ③水房厕所设施的管理和维修:每完全满足一个评审标准得0.5分，满分1.5分； ④直饮水机的管理和维修:每完全满足一个评审标准得0.5分，满分1.5分； ⑤照明设备的管理和维修:每完全满足一个评审标准得0.5分，满分1.5分； ⑥安全应急设施的管理和维修:每完全满足一个评审标准得0.5分，满分1.5分。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消防安全管理</w:t>
            </w:r>
          </w:p>
        </w:tc>
        <w:tc>
          <w:tcPr>
            <w:tcW w:type="dxa" w:w="2492"/>
          </w:tcPr>
          <w:p>
            <w:pPr>
              <w:pStyle w:val="null3"/>
            </w:pPr>
            <w:r>
              <w:rPr>
                <w:rFonts w:ascii="仿宋_GB2312" w:hAnsi="仿宋_GB2312" w:cs="仿宋_GB2312" w:eastAsia="仿宋_GB2312"/>
              </w:rPr>
              <w:t>一、评审内容 针对本项目提供消防安全管理方案，内容包括：①消防安全培训工作；②消防检测记录归档；③消防检查；④消防演练工作。 二、评审标准 1、完整性：方案必须全面，对评审内容有详细描述； 2、可实施性：切合本项目实际情况，内容清晰、有可实施性。； 3、针对性：方案能够紧扣项目实际情况，内容科学合理。 三、赋分标准 ①消防演练工作：每完全满足一个评审标准得0.5分，满分1.5分； ②消防检测记录归档:每完全满足一个评审标准得0.5分，满分1.5分； ③消防检查:每完全满足一个评审标准得0.5分，满分1.5分； ④消防演练工作:每完全满足一个评审标准得0.5分，满分1.5分。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针对本项目提供管理制度，内容包括：①工作标准；②人事制度；③服务流程；④考核制度。 二、评审标准 1、完整性：方案必须全面，对评审内容有详细描述； 2、可实施性：切合本项目实际情况，内容清晰、有可实施性。； 3、针对性：方案能够紧扣项目实际情况，内容科学合理。 三、赋分标准 ①工作标准：每完全满足一个评审标准得0.5分，满分1.5分； ②人事制度:每完全满足一个评审标准得0.5分，满分1.5分； ③服务流程:每完全满足一个评审标准得0.5分，满分1.5分； ④考核制度:每完全满足一个评审标准得0.5分，满分1.5分。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拟配备人员</w:t>
            </w:r>
          </w:p>
        </w:tc>
        <w:tc>
          <w:tcPr>
            <w:tcW w:type="dxa" w:w="2492"/>
          </w:tcPr>
          <w:p>
            <w:pPr>
              <w:pStyle w:val="null3"/>
            </w:pPr>
            <w:r>
              <w:rPr>
                <w:rFonts w:ascii="仿宋_GB2312" w:hAnsi="仿宋_GB2312" w:cs="仿宋_GB2312" w:eastAsia="仿宋_GB2312"/>
              </w:rPr>
              <w:t>针对本项目提供拟配备人员： ①拟配备人员数量充沛专业配备齐全，满足第三章3.2.2服务要求中人员配备最低要求，得基本分6分； ②拟配备人员中持有有效期内的特种作业操作证（电工作业），每提供1个得1分，最多得2分； ③拟配备人员中持有有效期消防设施操作员证书，每提供1个得1分，最多得3分。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应急预案及补救措施</w:t>
            </w:r>
          </w:p>
        </w:tc>
        <w:tc>
          <w:tcPr>
            <w:tcW w:type="dxa" w:w="2492"/>
          </w:tcPr>
          <w:p>
            <w:pPr>
              <w:pStyle w:val="null3"/>
            </w:pPr>
            <w:r>
              <w:rPr>
                <w:rFonts w:ascii="仿宋_GB2312" w:hAnsi="仿宋_GB2312" w:cs="仿宋_GB2312" w:eastAsia="仿宋_GB2312"/>
              </w:rPr>
              <w:t>一、评审内容 针对本项目提供应急预案及补救措施，内容包括：①恶性天气；②大型节假日；③大型活动；④人为因素。 二、评审标准 1、完整性：方案必须全面，对评审内容有详细描述； 2、可实施性：切合本项目实际情况，内容清晰、有可实施性。； 3、针对性：方案能够紧扣项目实际情况，内容科学合理。 三、赋分标准 ①恶性天气：每完全满足一个评审标准得0.5分，满分1.5分； ②大型节假日:每完全满足一个评审标准得0.5分，满分1.5分； ③大型活动:每完全满足一个评审标准得0.5分，满分1.5分； ④人为因素:每完全满足一个评审标准得0.5分，满分1.5分。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针对本项目提供档案管理方案，内容包括：①档案管理规范；②保管方案；③查阅制度；④移交方案。 二、评审标准 1、完整性：方案必须全面，对评审内容有详细描述； 2、可实施性：切合本项目实际情况，内容清晰、有可实施性。； 3、针对性：方案能够紧扣项目实际情况，内容科学合理。 三、赋分标准 ①档案管理规范：每完全满足一个评审标准得0.5分，满分1.5分； ②保管方案:每完全满足一个评审标准得0.5分，满分1.5分； ③查阅制度:每完全满足一个评审标准得0.5分，满分1.5分； ④移交方案:每完全满足一个评审标准得0.5分，满分1.5分。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一、评审内容 针对本项目提供拟投入设备，内容包括：①安保工具；②通信设备；③办公设备；④清扫工具。 二、评审标准 1、完整性：方案必须全面，对评审内容有详细描述； 2、可实施性：切合本项目实际情况，内容清晰、有可实施性。； 3、针对性：方案能够紧扣项目实际情况，内容科学合理。 三、赋分标准 ①安保工具：每完全满足一个评审标准得0.5分，满分1.5分； ②通信设备:每完全满足一个评审标准得0.5分，满分1.5分； ③办公设备:每完全满足一个评审标准得0.5分，满分1.5分； ④清扫工具:每完全满足一个评审标准得0.5分，满分1.5分。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1、承诺接受采购人对服务的考核、监督及管理，得2分； 2、承诺定期调研采购人对服务质量的满意度并加以改进，确保服务工作的优质高效，得2分； 3、承诺若出现服务人员因事、病等不能工作的，及时调整其他服务人员补充，确保服务工作得2分； 4、承诺按照法律法规跟服务人员签订劳动合同、缴纳社会保险、发放工资不低于当地最低工资标准得2分。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供应商提供2023年2月1日至今（以合同签订时间为准）的类似项目业绩，业绩以合同关键页复印件为依据，响应文件中附有其证明资料，每提供一个业绩证明计2分，满分10分。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1.经初审合格的磋商响应文件，其磋商报价为有效磋商报价，并进行价格评审。 2.满足磋商文件实质性要求且最终报价最低的供应商的价格为磋商基准价，其价格分为满分20分。 3.磋商报价得分=（磋商基准价/最终磋商报价）×20的公式计算得分。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