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版本号：CGZC-2026-009（HSGJ2026-103-1）20260205001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世园产业园2026年春节拆迁慰问品采购项目(二次)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CGZC-2026-009（HSGJ2026-103-1）</w:t>
      </w:r>
      <w:r>
        <w:br/>
      </w:r>
      <w:r>
        <w:br/>
      </w:r>
      <w:r>
        <w:br/>
      </w:r>
    </w:p>
    <w:p>
      <w:pPr>
        <w:pStyle w:val="null3"/>
        <w:jc w:val="center"/>
        <w:outlineLvl w:val="2"/>
      </w:pPr>
      <w:r>
        <w:rPr>
          <w:rFonts w:ascii="仿宋_GB2312" w:hAnsi="仿宋_GB2312" w:cs="仿宋_GB2312" w:eastAsia="仿宋_GB2312"/>
          <w:sz w:val="28"/>
          <w:b/>
        </w:rPr>
        <w:t>西安浐灞国际港世园会展产业园</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西安浐灞国际港世园会展产业园</w:t>
      </w:r>
      <w:r>
        <w:rPr>
          <w:rFonts w:ascii="仿宋_GB2312" w:hAnsi="仿宋_GB2312" w:cs="仿宋_GB2312" w:eastAsia="仿宋_GB2312"/>
        </w:rPr>
        <w:t>委托，拟对</w:t>
      </w:r>
      <w:r>
        <w:rPr>
          <w:rFonts w:ascii="仿宋_GB2312" w:hAnsi="仿宋_GB2312" w:cs="仿宋_GB2312" w:eastAsia="仿宋_GB2312"/>
        </w:rPr>
        <w:t>世园产业园2026年春节拆迁慰问品采购项目(二次)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CGZC-2026-009（HSGJ2026-103-1）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世园产业园2026年春节拆迁慰问品采购项目(二次)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世园产业园2026年春节拆迁慰问品采购项目（二次），具体内容详见第三章。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2、基本资格条件：基本资格条件：符合《中华人民共和国政府采购法》第二十二条的规定提供承诺函；</w:t>
      </w:r>
    </w:p>
    <w:p>
      <w:pPr>
        <w:pStyle w:val="null3"/>
      </w:pPr>
      <w:r>
        <w:rPr>
          <w:rFonts w:ascii="仿宋_GB2312" w:hAnsi="仿宋_GB2312" w:cs="仿宋_GB2312" w:eastAsia="仿宋_GB2312"/>
        </w:rPr>
        <w:t>3、法定代表人（主要负责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5、供应商资格证明：供应商须提供《食品经营许可证》或具有仅销售预包装食品的备案证明资料；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西安浐灞国际港世园会展产业园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灞桥区香槐六路2329号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孙胜伟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029-83748676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曹美奇、李琛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采购包1：828,900.00元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代理服务费收费标准：按照国家计委颁布的《招标代理服务收费管理暂行办法》（计价格[2002]1980号）和（发改办价格[2003]857号）货物收费标准计取。 银行户名：华晟国际项目管理有限公司 开户银行：建设银行西安劳动路支行 账 号：610501 740015 00000 427 转账事由：CGZC-2026-009（HSGJ2026-103-1）项目代理服务费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西安浐灞国际港世园会展产业园</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西安浐灞国际港世园会展产业园</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西安浐灞国际港世园会展产业园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联系人：曹美奇、李琛</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世园产业园</w:t>
      </w:r>
      <w:r>
        <w:rPr>
          <w:rFonts w:ascii="仿宋_GB2312" w:hAnsi="仿宋_GB2312" w:cs="仿宋_GB2312" w:eastAsia="仿宋_GB2312"/>
          <w:sz w:val="21"/>
        </w:rPr>
        <w:t>2026年春节拆迁慰问品采购项目（二次）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828,900.00</w:t>
      </w:r>
    </w:p>
    <w:p>
      <w:pPr>
        <w:pStyle w:val="null3"/>
      </w:pPr>
      <w:r>
        <w:rPr>
          <w:rFonts w:ascii="仿宋_GB2312" w:hAnsi="仿宋_GB2312" w:cs="仿宋_GB2312" w:eastAsia="仿宋_GB2312"/>
        </w:rPr>
        <w:t>采购包最高限价（元）: 828,900.00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世园产业园2026年春节拆迁慰问品采购项目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828,900.00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标的名称：世园产业园2026年春节拆迁慰问品采购项目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一、采购内容：</w:t>
            </w:r>
          </w:p>
          <w:p>
            <w:pPr>
              <w:pStyle w:val="null3"/>
            </w:pPr>
            <w:r>
              <w:rPr>
                <w:rFonts w:ascii="仿宋_GB2312" w:hAnsi="仿宋_GB2312" w:cs="仿宋_GB2312" w:eastAsia="仿宋_GB2312"/>
                <w:sz w:val="20"/>
              </w:rPr>
              <w:t>1.非转基因</w:t>
            </w:r>
            <w:r>
              <w:rPr>
                <w:rFonts w:ascii="仿宋_GB2312" w:hAnsi="仿宋_GB2312" w:cs="仿宋_GB2312" w:eastAsia="仿宋_GB2312"/>
                <w:sz w:val="20"/>
              </w:rPr>
              <w:t>菜籽</w:t>
            </w:r>
            <w:r>
              <w:rPr>
                <w:rFonts w:ascii="仿宋_GB2312" w:hAnsi="仿宋_GB2312" w:cs="仿宋_GB2312" w:eastAsia="仿宋_GB2312"/>
                <w:sz w:val="20"/>
              </w:rPr>
              <w:t>油</w:t>
            </w:r>
            <w:r>
              <w:rPr>
                <w:rFonts w:ascii="仿宋_GB2312" w:hAnsi="仿宋_GB2312" w:cs="仿宋_GB2312" w:eastAsia="仿宋_GB2312"/>
                <w:sz w:val="20"/>
              </w:rPr>
              <w:t>5526桶（</w:t>
            </w:r>
            <w:r>
              <w:rPr>
                <w:rFonts w:ascii="仿宋_GB2312" w:hAnsi="仿宋_GB2312" w:cs="仿宋_GB2312" w:eastAsia="仿宋_GB2312"/>
                <w:sz w:val="20"/>
              </w:rPr>
              <w:t>≥</w:t>
            </w:r>
            <w:r>
              <w:rPr>
                <w:rFonts w:ascii="仿宋_GB2312" w:hAnsi="仿宋_GB2312" w:cs="仿宋_GB2312" w:eastAsia="仿宋_GB2312"/>
                <w:sz w:val="20"/>
              </w:rPr>
              <w:t>5L/桶），符合</w:t>
            </w:r>
            <w:r>
              <w:rPr>
                <w:rFonts w:ascii="仿宋_GB2312" w:hAnsi="仿宋_GB2312" w:cs="仿宋_GB2312" w:eastAsia="仿宋_GB2312"/>
                <w:sz w:val="20"/>
              </w:rPr>
              <w:t>《</w:t>
            </w:r>
            <w:r>
              <w:rPr>
                <w:rFonts w:ascii="仿宋_GB2312" w:hAnsi="仿宋_GB2312" w:cs="仿宋_GB2312" w:eastAsia="仿宋_GB2312"/>
                <w:sz w:val="20"/>
              </w:rPr>
              <w:t>GB/T1536-2021-菜籽油》标准</w:t>
            </w:r>
            <w:r>
              <w:rPr>
                <w:rFonts w:ascii="仿宋_GB2312" w:hAnsi="仿宋_GB2312" w:cs="仿宋_GB2312" w:eastAsia="仿宋_GB2312"/>
                <w:sz w:val="20"/>
              </w:rPr>
              <w:t>。</w:t>
            </w:r>
          </w:p>
          <w:p>
            <w:pPr>
              <w:pStyle w:val="null3"/>
            </w:pPr>
            <w:r>
              <w:rPr>
                <w:rFonts w:ascii="仿宋_GB2312" w:hAnsi="仿宋_GB2312" w:cs="仿宋_GB2312" w:eastAsia="仿宋_GB2312"/>
                <w:sz w:val="20"/>
              </w:rPr>
              <w:t>2.大米2763袋（</w:t>
            </w:r>
            <w:r>
              <w:rPr>
                <w:rFonts w:ascii="仿宋_GB2312" w:hAnsi="仿宋_GB2312" w:cs="仿宋_GB2312" w:eastAsia="仿宋_GB2312"/>
                <w:sz w:val="20"/>
              </w:rPr>
              <w:t>≥</w:t>
            </w:r>
            <w:r>
              <w:rPr>
                <w:rFonts w:ascii="仿宋_GB2312" w:hAnsi="仿宋_GB2312" w:cs="仿宋_GB2312" w:eastAsia="仿宋_GB2312"/>
                <w:sz w:val="20"/>
              </w:rPr>
              <w:t>10kg/袋），符合《GB/T 1354-2018-大米》标准。</w:t>
            </w:r>
          </w:p>
          <w:p>
            <w:pPr>
              <w:pStyle w:val="null3"/>
            </w:pPr>
            <w:r>
              <w:rPr>
                <w:rFonts w:ascii="仿宋_GB2312" w:hAnsi="仿宋_GB2312" w:cs="仿宋_GB2312" w:eastAsia="仿宋_GB2312"/>
                <w:sz w:val="20"/>
              </w:rPr>
              <w:t>3.小麦粉2763袋（</w:t>
            </w:r>
            <w:r>
              <w:rPr>
                <w:rFonts w:ascii="仿宋_GB2312" w:hAnsi="仿宋_GB2312" w:cs="仿宋_GB2312" w:eastAsia="仿宋_GB2312"/>
                <w:sz w:val="20"/>
              </w:rPr>
              <w:t>≥</w:t>
            </w:r>
            <w:r>
              <w:rPr>
                <w:rFonts w:ascii="仿宋_GB2312" w:hAnsi="仿宋_GB2312" w:cs="仿宋_GB2312" w:eastAsia="仿宋_GB2312"/>
                <w:sz w:val="20"/>
              </w:rPr>
              <w:t>10kg/袋），符合《GB/T 1355-2021》标准。</w:t>
            </w:r>
          </w:p>
          <w:p>
            <w:pPr>
              <w:pStyle w:val="null3"/>
            </w:pPr>
            <w:r>
              <w:rPr>
                <w:rFonts w:ascii="仿宋_GB2312" w:hAnsi="仿宋_GB2312" w:cs="仿宋_GB2312" w:eastAsia="仿宋_GB2312"/>
                <w:sz w:val="20"/>
              </w:rPr>
              <w:t>二、技术要求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质保期：从交货时间算起至产品质保期结束时间不得小于</w:t>
            </w:r>
            <w:r>
              <w:rPr>
                <w:rFonts w:ascii="仿宋_GB2312" w:hAnsi="仿宋_GB2312" w:cs="仿宋_GB2312" w:eastAsia="仿宋_GB2312"/>
                <w:sz w:val="20"/>
              </w:rPr>
              <w:t>6</w:t>
            </w:r>
            <w:r>
              <w:rPr>
                <w:rFonts w:ascii="仿宋_GB2312" w:hAnsi="仿宋_GB2312" w:cs="仿宋_GB2312" w:eastAsia="仿宋_GB2312"/>
                <w:sz w:val="20"/>
              </w:rPr>
              <w:t>个月。</w:t>
            </w:r>
          </w:p>
          <w:p>
            <w:pPr>
              <w:pStyle w:val="null3"/>
            </w:pPr>
            <w:r>
              <w:rPr>
                <w:rFonts w:ascii="仿宋_GB2312" w:hAnsi="仿宋_GB2312" w:cs="仿宋_GB2312" w:eastAsia="仿宋_GB2312"/>
                <w:sz w:val="20"/>
              </w:rPr>
              <w:t>2.</w:t>
            </w:r>
            <w:r>
              <w:rPr>
                <w:rFonts w:ascii="仿宋_GB2312" w:hAnsi="仿宋_GB2312" w:cs="仿宋_GB2312" w:eastAsia="仿宋_GB2312"/>
                <w:sz w:val="20"/>
              </w:rPr>
              <w:t>包装要求：独立包装，便于运输储存，外包</w:t>
            </w:r>
            <w:r>
              <w:rPr>
                <w:rFonts w:ascii="仿宋_GB2312" w:hAnsi="仿宋_GB2312" w:cs="仿宋_GB2312" w:eastAsia="仿宋_GB2312"/>
                <w:sz w:val="20"/>
              </w:rPr>
              <w:t>装</w:t>
            </w:r>
            <w:r>
              <w:rPr>
                <w:rFonts w:ascii="仿宋_GB2312" w:hAnsi="仿宋_GB2312" w:cs="仿宋_GB2312" w:eastAsia="仿宋_GB2312"/>
                <w:sz w:val="20"/>
              </w:rPr>
              <w:t>符合国家食品包装规范。</w:t>
            </w:r>
          </w:p>
          <w:p>
            <w:pPr>
              <w:pStyle w:val="null3"/>
            </w:pPr>
            <w:r>
              <w:rPr>
                <w:rFonts w:ascii="仿宋_GB2312" w:hAnsi="仿宋_GB2312" w:cs="仿宋_GB2312" w:eastAsia="仿宋_GB2312"/>
                <w:sz w:val="20"/>
              </w:rPr>
              <w:t>3.</w:t>
            </w:r>
            <w:r>
              <w:rPr>
                <w:rFonts w:ascii="仿宋_GB2312" w:hAnsi="仿宋_GB2312" w:cs="仿宋_GB2312" w:eastAsia="仿宋_GB2312"/>
                <w:sz w:val="20"/>
              </w:rPr>
              <w:t>质量要求：严格按照《食品安全法》的规定保证质量。质量按照国家最新相关标准执行。严禁添加剂、防腐剂和一些可能危害身体健康的元素含量超标。每批次有合格的内检报告。由于产品质量引起的一切责任由供货商承担，采购人有权终止合同；</w:t>
            </w:r>
          </w:p>
          <w:p>
            <w:pPr>
              <w:pStyle w:val="null3"/>
            </w:pPr>
            <w:r>
              <w:rPr>
                <w:rFonts w:ascii="仿宋_GB2312" w:hAnsi="仿宋_GB2312" w:cs="仿宋_GB2312" w:eastAsia="仿宋_GB2312"/>
                <w:sz w:val="20"/>
              </w:rPr>
              <w:t>三、服务要求</w:t>
            </w:r>
          </w:p>
          <w:p>
            <w:pPr>
              <w:pStyle w:val="null3"/>
            </w:pPr>
            <w:r>
              <w:rPr>
                <w:rFonts w:ascii="仿宋_GB2312" w:hAnsi="仿宋_GB2312" w:cs="仿宋_GB2312" w:eastAsia="仿宋_GB2312"/>
                <w:sz w:val="20"/>
              </w:rPr>
              <w:t>按照采购人要求的时间送货至采购人指定地点</w:t>
            </w:r>
          </w:p>
          <w:p>
            <w:pPr>
              <w:pStyle w:val="null3"/>
            </w:pPr>
            <w:r>
              <w:rPr>
                <w:rFonts w:ascii="仿宋_GB2312" w:hAnsi="仿宋_GB2312" w:cs="仿宋_GB2312" w:eastAsia="仿宋_GB2312"/>
                <w:sz w:val="21"/>
                <w:b/>
                <w:color w:val="000000"/>
              </w:rPr>
              <w:t>核心产品：菜籽油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合同签订，产品到货验收合格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所有产品数量、规格、技术标准及配置等全部按竞争性磋商文件、竞争性磋商响应文件及澄清函等进行验收，各项指标均应符合要求。 1.在交货前，供货方应提供有关资料，包括供货方的营业执照、食品经营许可证（或销售预包装食品经营者备案表）的复印件及食品检测报告（必要时）等。 2.采购方有权对交货货品进行清点，确认货品是否符合“货品名称、数量”的要求，所有货品外包装完好，标明品名、厂名、重量、生产日期、保质期或保存期、执行标准，剩余保质期不少于6个月。 3.如果被清点的货品不能满足“货品名称、数量和质量等”的要求，采购方可以拒绝接受该货品，，直至供应商满足采购人要求，方可通过验收。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基本资格条件：符合《中华人民共和国政府采购法》第二十二条的规定提供承诺函；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法定代表人资格证明书及法定代表人授权委托书.docx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供应商资格证明</w:t>
            </w:r>
          </w:p>
        </w:tc>
        <w:tc>
          <w:tcPr>
            <w:tcW w:type="dxa" w:w="3322"/>
          </w:tcPr>
          <w:p>
            <w:pPr>
              <w:pStyle w:val="null3"/>
            </w:pPr>
            <w:r>
              <w:rPr>
                <w:rFonts w:ascii="仿宋_GB2312" w:hAnsi="仿宋_GB2312" w:cs="仿宋_GB2312" w:eastAsia="仿宋_GB2312"/>
              </w:rPr>
              <w:t>供应商须提供《食品经营许可证》或具有仅销售预包装食品的备案证明资料；</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产品技术偏离表.docx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分项报价表.docx 投标函 产品技术偏离表.docx 标的清单 投标人资格证明文件.docx 投标文件封面 商务应答表.docx 法定代表人资格证明书及法定代表人授权委托书.docx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开标一览表 技术方案.docx 类似项目业绩一览表.docx 中小企业声明函 商务应答表.docx 法定代表人资格证明书及法定代表人授权委托书.docx 分项报价表.docx 投标函 残疾人福利性单位声明函 产品技术偏离表.docx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根据财政部《关于推动解决政府采购异常低价问题的通知》（财库〔2026〕2号）出现下列情形之一的，评审委员会应当启动异常低价投标（响应）审查程序：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相关法律法规对供应商报价有规定的，从其规定。 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投标人提交的书面说明、证明材料应当加盖投标人公章，在评标委员会要求的时间内通过项目电子化交易系统进行提交。</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供应商针对本项目的理解，提供整体服务方案、整体服务流程、食品配送方案，方案各部分内容全面详细、阐述条理清晰详尽、符合本项目要求的得10.0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品安全管理方案完整、规范，有详细的安全责任划分标准及安全事故的应对措施；安全管理方案针对性强，完整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提供组织计划、项目组成人员情况，组织计划合理、结构清晰，项目组成人员职责任务明确、人员数量和人员专业结构配备合理，完全满足本项目服务要求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供应商针对食品质量、食品安全与卫生、安全执行标准、检验检查、日常检查的措施；方案详细、合理可行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针对本项目提供天气、车辆故障等突发事件、配送或使用过程出现问题的应急预案及补救措施； 具有完整、规范的应急方案，并有充足的应急资源储备及较强的应急调配响应能力，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针对本项目的时效保障措施，包括但不限于：采买时间计划、运输路线规划、响应的及时性等；保障措施针对性强、全面完整、时效性强，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供应商提供2023年1月1日起至今的类似项目业绩，每提供一份得1分，满分5分。（业绩以合同复印件为准，时间以合同签订日期为准。）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