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版本号：CGZC-2025-275（ZR20GN2026-CS-002）R20260209001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垃圾压缩设备采购及安装(二次)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CGZC-2025-275（ZR20GN2026-CS-002）R</w:t>
      </w:r>
      <w:r>
        <w:br/>
      </w:r>
      <w:r>
        <w:br/>
      </w:r>
      <w:r>
        <w:br/>
      </w:r>
    </w:p>
    <w:p>
      <w:pPr>
        <w:pStyle w:val="null3"/>
        <w:jc w:val="center"/>
        <w:outlineLvl w:val="2"/>
      </w:pPr>
      <w:r>
        <w:rPr>
          <w:rFonts w:ascii="仿宋_GB2312" w:hAnsi="仿宋_GB2312" w:cs="仿宋_GB2312" w:eastAsia="仿宋_GB2312"/>
          <w:sz w:val="28"/>
          <w:b/>
        </w:rPr>
        <w:t>新合街道办事处</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新合街道办事处</w:t>
      </w:r>
      <w:r>
        <w:rPr>
          <w:rFonts w:ascii="仿宋_GB2312" w:hAnsi="仿宋_GB2312" w:cs="仿宋_GB2312" w:eastAsia="仿宋_GB2312"/>
        </w:rPr>
        <w:t>委托，拟对</w:t>
      </w:r>
      <w:r>
        <w:rPr>
          <w:rFonts w:ascii="仿宋_GB2312" w:hAnsi="仿宋_GB2312" w:cs="仿宋_GB2312" w:eastAsia="仿宋_GB2312"/>
        </w:rPr>
        <w:t>垃圾压缩设备采购及安装(二次)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CGZC-2025-275（ZR20GN2026-CS-002）R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垃圾压缩设备采购及安装(二次)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采购新合街办垃圾压缩设备。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采购包1（垃圾压缩设备采购及安装）：属于专门面向中小企业采购。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新合街道办事处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西安市灞桥区新合街道24号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 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029-83417996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 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国家发展和改革委员会办公厅颁发的《关于招标代理服务收费有关问题的通知》（发改办价格『2003』857号）规定按标准收取，若按照标准收取不足6000元，按6000元计取。 3、成交单位的代理服务费交纳信息 银行户名：陕西中润国际招标有限公司 开户银行：中信银行西安曲江池北路支行 账 号：7251310182600086350 联 系 人：李帆 联系电话：029-87321229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新合街道办事处</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新合街道办事处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质量符合国家法律法规规定的合格标准、采购文件、响应文件的要求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采购新合街办垃圾压缩设备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1,420,000.00</w:t>
      </w:r>
    </w:p>
    <w:p>
      <w:pPr>
        <w:pStyle w:val="null3"/>
      </w:pPr>
      <w:r>
        <w:rPr>
          <w:rFonts w:ascii="仿宋_GB2312" w:hAnsi="仿宋_GB2312" w:cs="仿宋_GB2312" w:eastAsia="仿宋_GB2312"/>
        </w:rPr>
        <w:t>采购包最高限价（元）: 1,420,000.00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垃圾压缩设备采购及安装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标的名称：垃圾压缩设备采购及安装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一、采购需求说明</w:t>
            </w:r>
          </w:p>
          <w:p>
            <w:pPr>
              <w:pStyle w:val="null3"/>
              <w:ind w:firstLine="480"/>
            </w:pPr>
            <w:r>
              <w:rPr>
                <w:rFonts w:ascii="仿宋_GB2312" w:hAnsi="仿宋_GB2312" w:cs="仿宋_GB2312" w:eastAsia="仿宋_GB2312"/>
              </w:rPr>
              <w:t>1.场地基础信息（见下图）</w:t>
            </w:r>
          </w:p>
          <w:p>
            <w:pPr>
              <w:pStyle w:val="null3"/>
            </w:pPr>
            <w:r>
              <w:rPr>
                <w:rFonts w:ascii="仿宋_GB2312" w:hAnsi="仿宋_GB2312" w:cs="仿宋_GB2312" w:eastAsia="仿宋_GB2312"/>
              </w:rPr>
              <w:t>新合街道办垃圾转运场总占地面积约3480平方米，整体划分为南北两大功能区域。其中，北部为垃圾压缩区域（长75米、宽29米）占地面积约2175平方米；南部为办公区域（长45米、宽29米）占地面积约1305平方米。</w:t>
            </w:r>
          </w:p>
          <w:p>
            <w:pPr>
              <w:pStyle w:val="null3"/>
            </w:pPr>
            <w:r>
              <w:drawing>
                <wp:inline distT="0" distR="0" distB="0" distL="0">
                  <wp:extent cx="1621155" cy="229081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290811"/>
                          </a:xfrm>
                          <a:prstGeom prst="rect">
                            <a:avLst/>
                          </a:prstGeom>
                        </pic:spPr>
                      </pic:pic>
                    </a:graphicData>
                  </a:graphic>
                </wp:inline>
              </w:drawing>
            </w:r>
          </w:p>
          <w:p>
            <w:pPr>
              <w:pStyle w:val="null3"/>
              <w:ind w:firstLine="480"/>
            </w:pPr>
            <w:r>
              <w:rPr>
                <w:rFonts w:ascii="仿宋_GB2312" w:hAnsi="仿宋_GB2312" w:cs="仿宋_GB2312" w:eastAsia="仿宋_GB2312"/>
              </w:rPr>
              <w:t>2.采购需求</w:t>
            </w:r>
          </w:p>
          <w:p>
            <w:pPr>
              <w:pStyle w:val="null3"/>
              <w:ind w:firstLine="480"/>
            </w:pPr>
            <w:r>
              <w:rPr>
                <w:rFonts w:ascii="仿宋_GB2312" w:hAnsi="仿宋_GB2312" w:cs="仿宋_GB2312" w:eastAsia="仿宋_GB2312"/>
              </w:rPr>
              <w:t>（1）需购置水平直压式垃圾压缩设备一套，含水平垃圾压缩机、移箱平台、转运箱、控制中心、设备视频监控、空间喷淋除臭系统、投料口喷淋降尘等。</w:t>
            </w:r>
          </w:p>
          <w:p>
            <w:pPr>
              <w:pStyle w:val="null3"/>
            </w:pPr>
            <w:r>
              <w:rPr>
                <w:rFonts w:ascii="仿宋_GB2312" w:hAnsi="仿宋_GB2312" w:cs="仿宋_GB2312" w:eastAsia="仿宋_GB2312"/>
              </w:rPr>
              <w:t xml:space="preserve">    （2）成交单位负责对采购人现有2台垃圾压缩箱体（长、宽、高6000mmX2500mmX2400mm)及推料口截面（宽、高1900mmX745mm)进行改造，确保与成交设备兼容适配,实现原垃圾压缩箱体与水平式压缩主机精准对接，同时满足现有勾臂车的装卸作业要求，保障原垃圾压缩箱体改造后可投入正常使用。</w:t>
            </w:r>
          </w:p>
          <w:p>
            <w:pPr>
              <w:pStyle w:val="null3"/>
              <w:jc w:val="both"/>
            </w:pPr>
            <w:r>
              <w:rPr>
                <w:rFonts w:ascii="仿宋_GB2312" w:hAnsi="仿宋_GB2312" w:cs="仿宋_GB2312" w:eastAsia="仿宋_GB2312"/>
                <w:b/>
              </w:rPr>
              <w:t>二、采购内容</w:t>
            </w:r>
          </w:p>
          <w:p>
            <w:pPr>
              <w:pStyle w:val="null3"/>
              <w:jc w:val="both"/>
            </w:pPr>
            <w:r>
              <w:rPr>
                <w:rFonts w:ascii="仿宋_GB2312" w:hAnsi="仿宋_GB2312" w:cs="仿宋_GB2312" w:eastAsia="仿宋_GB2312"/>
                <w:b/>
              </w:rPr>
              <w:t>1、水平垃圾</w:t>
            </w:r>
            <w:r>
              <w:rPr>
                <w:rFonts w:ascii="仿宋_GB2312" w:hAnsi="仿宋_GB2312" w:cs="仿宋_GB2312" w:eastAsia="仿宋_GB2312"/>
                <w:b/>
              </w:rPr>
              <w:t>压缩机</w:t>
            </w:r>
            <w:r>
              <w:rPr>
                <w:rFonts w:ascii="仿宋_GB2312" w:hAnsi="仿宋_GB2312" w:cs="仿宋_GB2312" w:eastAsia="仿宋_GB2312"/>
                <w:b/>
              </w:rPr>
              <w:t>（</w:t>
            </w:r>
            <w:r>
              <w:rPr>
                <w:rFonts w:ascii="仿宋_GB2312" w:hAnsi="仿宋_GB2312" w:cs="仿宋_GB2312" w:eastAsia="仿宋_GB2312"/>
                <w:b/>
              </w:rPr>
              <w:t>1套</w:t>
            </w:r>
            <w:r>
              <w:rPr>
                <w:rFonts w:ascii="仿宋_GB2312" w:hAnsi="仿宋_GB2312" w:cs="仿宋_GB2312" w:eastAsia="仿宋_GB2312"/>
                <w:b/>
              </w:rPr>
              <w:t>）</w:t>
            </w:r>
          </w:p>
          <w:p>
            <w:pPr>
              <w:pStyle w:val="null3"/>
              <w:jc w:val="both"/>
            </w:pPr>
            <w:r>
              <w:rPr>
                <w:rFonts w:ascii="仿宋_GB2312" w:hAnsi="仿宋_GB2312" w:cs="仿宋_GB2312" w:eastAsia="仿宋_GB2312"/>
              </w:rPr>
              <w:t>1.1、压缩机</w:t>
            </w:r>
          </w:p>
          <w:p>
            <w:pPr>
              <w:pStyle w:val="null3"/>
              <w:ind w:firstLine="480"/>
              <w:jc w:val="both"/>
            </w:pPr>
            <w:r>
              <w:rPr>
                <w:rFonts w:ascii="仿宋_GB2312" w:hAnsi="仿宋_GB2312" w:cs="仿宋_GB2312" w:eastAsia="仿宋_GB2312"/>
              </w:rPr>
              <w:t>(1)压缩推头压缩方式为水平直压式；</w:t>
            </w:r>
          </w:p>
          <w:p>
            <w:pPr>
              <w:pStyle w:val="null3"/>
              <w:ind w:firstLine="480"/>
              <w:jc w:val="both"/>
            </w:pPr>
            <w:r>
              <w:rPr>
                <w:rFonts w:ascii="仿宋_GB2312" w:hAnsi="仿宋_GB2312" w:cs="仿宋_GB2312" w:eastAsia="仿宋_GB2312"/>
              </w:rPr>
              <w:t>(2)压缩机采用无导轨结构，后部为全密封结构，以防止垃圾进入推头后面；</w:t>
            </w:r>
          </w:p>
          <w:p>
            <w:pPr>
              <w:pStyle w:val="null3"/>
              <w:ind w:firstLine="480"/>
              <w:jc w:val="both"/>
            </w:pPr>
            <w:r>
              <w:rPr>
                <w:rFonts w:ascii="仿宋_GB2312" w:hAnsi="仿宋_GB2312" w:cs="仿宋_GB2312" w:eastAsia="仿宋_GB2312"/>
              </w:rPr>
              <w:t>(3)压缩推头直接与垃圾接触，中间无其他机构，提高压缩效率，减</w:t>
            </w:r>
            <w:r>
              <w:rPr>
                <w:rFonts w:ascii="仿宋_GB2312" w:hAnsi="仿宋_GB2312" w:cs="仿宋_GB2312" w:eastAsia="仿宋_GB2312"/>
              </w:rPr>
              <w:t>少</w:t>
            </w:r>
            <w:r>
              <w:rPr>
                <w:rFonts w:ascii="仿宋_GB2312" w:hAnsi="仿宋_GB2312" w:cs="仿宋_GB2312" w:eastAsia="仿宋_GB2312"/>
              </w:rPr>
              <w:t>设备故障率；</w:t>
            </w:r>
          </w:p>
          <w:p>
            <w:pPr>
              <w:pStyle w:val="null3"/>
              <w:ind w:firstLine="480"/>
              <w:jc w:val="both"/>
            </w:pPr>
            <w:r>
              <w:rPr>
                <w:rFonts w:ascii="仿宋_GB2312" w:hAnsi="仿宋_GB2312" w:cs="仿宋_GB2312" w:eastAsia="仿宋_GB2312"/>
              </w:rPr>
              <w:t>(4)压缩机PLC程序可实现5个循环运行、全自动循环运行、强压自动关门等动作；</w:t>
            </w:r>
          </w:p>
          <w:p>
            <w:pPr>
              <w:pStyle w:val="null3"/>
              <w:ind w:firstLine="480"/>
              <w:jc w:val="both"/>
            </w:pPr>
            <w:r>
              <w:rPr>
                <w:rFonts w:ascii="仿宋_GB2312" w:hAnsi="仿宋_GB2312" w:cs="仿宋_GB2312" w:eastAsia="仿宋_GB2312"/>
              </w:rPr>
              <w:t>(5)压缩机推头和机箱等关键零部件采用高强度、耐腐蚀钢板；</w:t>
            </w:r>
          </w:p>
          <w:p>
            <w:pPr>
              <w:pStyle w:val="null3"/>
              <w:ind w:firstLine="480"/>
              <w:jc w:val="both"/>
            </w:pPr>
            <w:r>
              <w:rPr>
                <w:rFonts w:ascii="仿宋_GB2312" w:hAnsi="仿宋_GB2312" w:cs="仿宋_GB2312" w:eastAsia="仿宋_GB2312"/>
              </w:rPr>
              <w:t>(6)具有全自动、半自动、手动维修三种控制模式；</w:t>
            </w:r>
          </w:p>
          <w:p>
            <w:pPr>
              <w:pStyle w:val="null3"/>
              <w:ind w:firstLine="480"/>
              <w:jc w:val="both"/>
            </w:pPr>
            <w:r>
              <w:rPr>
                <w:rFonts w:ascii="仿宋_GB2312" w:hAnsi="仿宋_GB2312" w:cs="仿宋_GB2312" w:eastAsia="仿宋_GB2312"/>
              </w:rPr>
              <w:t>(7)压缩机的防腐处理须采用喷丸除锈工艺前处理；</w:t>
            </w:r>
          </w:p>
          <w:p>
            <w:pPr>
              <w:pStyle w:val="null3"/>
              <w:ind w:firstLine="480"/>
              <w:jc w:val="both"/>
            </w:pPr>
            <w:r>
              <w:rPr>
                <w:rFonts w:ascii="仿宋_GB2312" w:hAnsi="仿宋_GB2312" w:cs="仿宋_GB2312" w:eastAsia="仿宋_GB2312"/>
              </w:rPr>
              <w:t>(8)主机参数要求</w:t>
            </w:r>
          </w:p>
          <w:tbl>
            <w:tblPr>
              <w:tblBorders>
                <w:top w:val="none" w:color="000000" w:sz="4"/>
                <w:left w:val="none" w:color="000000" w:sz="4"/>
                <w:bottom w:val="none" w:color="000000" w:sz="4"/>
                <w:right w:val="none" w:color="000000" w:sz="4"/>
                <w:insideH w:val="none"/>
                <w:insideV w:val="none"/>
              </w:tblBorders>
            </w:tblPr>
            <w:tblGrid>
              <w:gridCol w:w="239"/>
              <w:gridCol w:w="1141"/>
              <w:gridCol w:w="1173"/>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  目</w:t>
                  </w:r>
                </w:p>
              </w:tc>
              <w:tc>
                <w:tcPr>
                  <w:tcW w:type="dxa" w:w="1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  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★垃圾处理量</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≥35t/h</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最大系统压力</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≥25MPa</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正常压缩力</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≥320kN</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最大破碎力</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≥400kN</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压缩循环时间</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≤40S</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行程容积</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≥3.5m³</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压缩头进入箱体行程</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≥550mm</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设备电机功率</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≤20kw</w:t>
                  </w:r>
                </w:p>
              </w:tc>
            </w:tr>
          </w:tbl>
          <w:p>
            <w:pPr>
              <w:pStyle w:val="null3"/>
              <w:jc w:val="both"/>
            </w:pP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、箱体锁紧装置</w:t>
            </w:r>
          </w:p>
          <w:p>
            <w:pPr>
              <w:pStyle w:val="null3"/>
              <w:ind w:firstLine="480"/>
              <w:jc w:val="both"/>
            </w:pPr>
            <w:r>
              <w:rPr>
                <w:rFonts w:ascii="仿宋_GB2312" w:hAnsi="仿宋_GB2312" w:cs="仿宋_GB2312" w:eastAsia="仿宋_GB2312"/>
              </w:rPr>
              <w:t>(1)由油缸驱动锁紧主机体和垃圾箱，锁紧可靠；</w:t>
            </w:r>
          </w:p>
          <w:p>
            <w:pPr>
              <w:pStyle w:val="null3"/>
              <w:ind w:firstLine="480"/>
              <w:jc w:val="both"/>
            </w:pPr>
            <w:r>
              <w:rPr>
                <w:rFonts w:ascii="仿宋_GB2312" w:hAnsi="仿宋_GB2312" w:cs="仿宋_GB2312" w:eastAsia="仿宋_GB2312"/>
              </w:rPr>
              <w:t>(2)箱体锁紧装置外侧应有防护罩遮盖，确保运动时的安全性；</w:t>
            </w:r>
          </w:p>
          <w:p>
            <w:pPr>
              <w:pStyle w:val="null3"/>
              <w:ind w:firstLine="472"/>
              <w:jc w:val="both"/>
            </w:pPr>
            <w:r>
              <w:rPr>
                <w:rFonts w:ascii="仿宋_GB2312" w:hAnsi="仿宋_GB2312" w:cs="仿宋_GB2312" w:eastAsia="仿宋_GB2312"/>
              </w:rPr>
              <w:t>(3)压缩机与箱体应有效锁紧，对接面密封良好，能保证箱体与压缩机的锁紧及密封效果，防止压缩中污水遗漏</w:t>
            </w:r>
            <w:r>
              <w:rPr>
                <w:rFonts w:ascii="仿宋_GB2312" w:hAnsi="仿宋_GB2312" w:cs="仿宋_GB2312" w:eastAsia="仿宋_GB2312"/>
              </w:rPr>
              <w:t>。</w:t>
            </w:r>
          </w:p>
          <w:p>
            <w:pPr>
              <w:pStyle w:val="null3"/>
              <w:jc w:val="both"/>
            </w:pP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、闸门提升装置</w:t>
            </w:r>
          </w:p>
          <w:p>
            <w:pPr>
              <w:pStyle w:val="null3"/>
              <w:jc w:val="both"/>
            </w:pPr>
            <w:r>
              <w:rPr>
                <w:rFonts w:ascii="仿宋_GB2312" w:hAnsi="仿宋_GB2312" w:cs="仿宋_GB2312" w:eastAsia="仿宋_GB2312"/>
              </w:rPr>
              <w:t>闸门提升装置采用双闸门结构，确保箱体后门关闭时密闭关门，不产生任何留挂和污水滴漏。</w:t>
            </w:r>
          </w:p>
          <w:p>
            <w:pPr>
              <w:pStyle w:val="null3"/>
              <w:ind w:firstLine="480"/>
              <w:jc w:val="both"/>
            </w:pPr>
            <w:r>
              <w:rPr>
                <w:rFonts w:ascii="仿宋_GB2312" w:hAnsi="仿宋_GB2312" w:cs="仿宋_GB2312" w:eastAsia="仿宋_GB2312"/>
              </w:rPr>
              <w:t>大闸门机构</w:t>
            </w:r>
          </w:p>
          <w:p>
            <w:pPr>
              <w:pStyle w:val="null3"/>
              <w:ind w:firstLine="480"/>
              <w:jc w:val="both"/>
            </w:pPr>
            <w:r>
              <w:rPr>
                <w:rFonts w:ascii="仿宋_GB2312" w:hAnsi="仿宋_GB2312" w:cs="仿宋_GB2312" w:eastAsia="仿宋_GB2312"/>
              </w:rPr>
              <w:t>(1)闸门提升装置由2根安装在压缩腔左右侧的液压油缸及提升机构组成，提升机构挂接垃圾收集转运箱后门内的闸门，通过上下运动开启和封闭压缩腔与垃圾收集转运箱之间的垃圾压入通道；</w:t>
            </w:r>
          </w:p>
          <w:p>
            <w:pPr>
              <w:pStyle w:val="null3"/>
              <w:ind w:firstLine="480"/>
              <w:jc w:val="both"/>
            </w:pPr>
            <w:r>
              <w:rPr>
                <w:rFonts w:ascii="仿宋_GB2312" w:hAnsi="仿宋_GB2312" w:cs="仿宋_GB2312" w:eastAsia="仿宋_GB2312"/>
              </w:rPr>
              <w:t>（2）该机构与箱体闸门门配合，具有切断、分离垃圾的能力，保证闸门关闭后，无垃圾滞留、外挂等现象；</w:t>
            </w:r>
          </w:p>
          <w:p>
            <w:pPr>
              <w:pStyle w:val="null3"/>
              <w:ind w:firstLine="480"/>
              <w:jc w:val="both"/>
            </w:pPr>
            <w:r>
              <w:rPr>
                <w:rFonts w:ascii="仿宋_GB2312" w:hAnsi="仿宋_GB2312" w:cs="仿宋_GB2312" w:eastAsia="仿宋_GB2312"/>
              </w:rPr>
              <w:t>（3）为保证闸门提升同步，要求该机构提门和关门具备同步技术</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供应商</w:t>
            </w:r>
            <w:r>
              <w:rPr>
                <w:rFonts w:ascii="仿宋_GB2312" w:hAnsi="仿宋_GB2312" w:cs="仿宋_GB2312" w:eastAsia="仿宋_GB2312"/>
              </w:rPr>
              <w:t>应对压缩环保效果足够重视，详细描述机箱分离垃圾抛洒的解决方案</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小闸门机构</w:t>
            </w:r>
          </w:p>
          <w:p>
            <w:pPr>
              <w:pStyle w:val="null3"/>
              <w:ind w:firstLine="480"/>
              <w:jc w:val="both"/>
            </w:pPr>
            <w:r>
              <w:rPr>
                <w:rFonts w:ascii="仿宋_GB2312" w:hAnsi="仿宋_GB2312" w:cs="仿宋_GB2312" w:eastAsia="仿宋_GB2312"/>
              </w:rPr>
              <w:t>(1)小闸门机构的小闸门安装在压缩腔与大闸门机构之间，其落下与压缩推头形成密封，隔断卸料槽内的垃圾，保证即便没有垃圾箱对接，仍可不间断</w:t>
            </w:r>
            <w:r>
              <w:rPr>
                <w:rFonts w:ascii="仿宋_GB2312" w:hAnsi="仿宋_GB2312" w:cs="仿宋_GB2312" w:eastAsia="仿宋_GB2312"/>
              </w:rPr>
              <w:t>地</w:t>
            </w:r>
            <w:r>
              <w:rPr>
                <w:rFonts w:ascii="仿宋_GB2312" w:hAnsi="仿宋_GB2312" w:cs="仿宋_GB2312" w:eastAsia="仿宋_GB2312"/>
              </w:rPr>
              <w:t>向卸料槽内卸料</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（2）由2根油缸同步上下驱动</w:t>
            </w:r>
            <w:r>
              <w:rPr>
                <w:rFonts w:ascii="仿宋_GB2312" w:hAnsi="仿宋_GB2312" w:cs="仿宋_GB2312" w:eastAsia="仿宋_GB2312"/>
              </w:rPr>
              <w:t>。</w:t>
            </w:r>
          </w:p>
          <w:p>
            <w:pPr>
              <w:pStyle w:val="null3"/>
              <w:jc w:val="both"/>
            </w:pP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、推拉箱装置</w:t>
            </w:r>
          </w:p>
          <w:p>
            <w:pPr>
              <w:pStyle w:val="null3"/>
              <w:ind w:firstLine="480"/>
              <w:jc w:val="both"/>
            </w:pPr>
            <w:r>
              <w:rPr>
                <w:rFonts w:ascii="仿宋_GB2312" w:hAnsi="仿宋_GB2312" w:cs="仿宋_GB2312" w:eastAsia="仿宋_GB2312"/>
              </w:rPr>
              <w:t>(1)机构前端采用液压钩爪可自动与垃圾箱对接和分离，无需人员现场操作；</w:t>
            </w:r>
          </w:p>
          <w:p>
            <w:pPr>
              <w:pStyle w:val="null3"/>
              <w:ind w:firstLine="480"/>
              <w:jc w:val="both"/>
            </w:pPr>
            <w:r>
              <w:rPr>
                <w:rFonts w:ascii="仿宋_GB2312" w:hAnsi="仿宋_GB2312" w:cs="仿宋_GB2312" w:eastAsia="仿宋_GB2312"/>
              </w:rPr>
              <w:t>(2)可准确</w:t>
            </w:r>
            <w:r>
              <w:rPr>
                <w:rFonts w:ascii="仿宋_GB2312" w:hAnsi="仿宋_GB2312" w:cs="仿宋_GB2312" w:eastAsia="仿宋_GB2312"/>
              </w:rPr>
              <w:t>地</w:t>
            </w:r>
            <w:r>
              <w:rPr>
                <w:rFonts w:ascii="仿宋_GB2312" w:hAnsi="仿宋_GB2312" w:cs="仿宋_GB2312" w:eastAsia="仿宋_GB2312"/>
              </w:rPr>
              <w:t>将箱体拉向或推离主机体，并自动定位停止位置；</w:t>
            </w:r>
          </w:p>
          <w:p>
            <w:pPr>
              <w:pStyle w:val="null3"/>
              <w:jc w:val="both"/>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、污水导流系统</w:t>
            </w:r>
          </w:p>
          <w:p>
            <w:pPr>
              <w:pStyle w:val="null3"/>
              <w:ind w:firstLine="480"/>
              <w:jc w:val="both"/>
            </w:pPr>
            <w:r>
              <w:rPr>
                <w:rFonts w:ascii="仿宋_GB2312" w:hAnsi="仿宋_GB2312" w:cs="仿宋_GB2312" w:eastAsia="仿宋_GB2312"/>
              </w:rPr>
              <w:t>(1)压缩机后腔设污水导流装置，确保压缩过程中垃圾污水能有序导排到地面排污系统，整个过程无污水暴露；</w:t>
            </w:r>
          </w:p>
          <w:p>
            <w:pPr>
              <w:pStyle w:val="null3"/>
              <w:ind w:firstLine="480"/>
              <w:jc w:val="both"/>
            </w:pPr>
            <w:r>
              <w:rPr>
                <w:rFonts w:ascii="仿宋_GB2312" w:hAnsi="仿宋_GB2312" w:cs="仿宋_GB2312" w:eastAsia="仿宋_GB2312"/>
              </w:rPr>
              <w:t>（2）压缩机排水装置需设置过滤装置，避免大件杂质进入地面排水系统中；</w:t>
            </w:r>
          </w:p>
          <w:p>
            <w:pPr>
              <w:pStyle w:val="null3"/>
              <w:ind w:firstLine="480"/>
              <w:jc w:val="both"/>
            </w:pPr>
            <w:r>
              <w:rPr>
                <w:rFonts w:ascii="仿宋_GB2312" w:hAnsi="仿宋_GB2312" w:cs="仿宋_GB2312" w:eastAsia="仿宋_GB2312"/>
              </w:rPr>
              <w:t>（3）移箱机构上带有自动污水导流装置，保证箱体中压缩出的污水有序排放。</w:t>
            </w:r>
          </w:p>
          <w:p>
            <w:pPr>
              <w:pStyle w:val="null3"/>
              <w:jc w:val="both"/>
            </w:pP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、液压系统</w:t>
            </w:r>
          </w:p>
          <w:p>
            <w:pPr>
              <w:pStyle w:val="null3"/>
              <w:ind w:firstLine="480"/>
              <w:jc w:val="both"/>
            </w:pPr>
            <w:r>
              <w:rPr>
                <w:rFonts w:ascii="仿宋_GB2312" w:hAnsi="仿宋_GB2312" w:cs="仿宋_GB2312" w:eastAsia="仿宋_GB2312"/>
              </w:rPr>
              <w:t>(1)液压系统应采用独立工作站模式，便于维护；</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)液压系统应配置独立的液压油循环降温系统；</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)液压系统主工作电机以及辅助系统电机的能耗总和≤20KW(380V、三相)</w:t>
            </w:r>
            <w:r>
              <w:rPr>
                <w:rFonts w:ascii="仿宋_GB2312" w:hAnsi="仿宋_GB2312" w:cs="仿宋_GB2312" w:eastAsia="仿宋_GB2312"/>
              </w:rPr>
              <w:t>。</w:t>
            </w:r>
          </w:p>
          <w:p>
            <w:pPr>
              <w:pStyle w:val="null3"/>
              <w:jc w:val="both"/>
            </w:pPr>
            <w:r>
              <w:rPr>
                <w:rFonts w:ascii="仿宋_GB2312" w:hAnsi="仿宋_GB2312" w:cs="仿宋_GB2312" w:eastAsia="仿宋_GB2312"/>
              </w:rPr>
              <w:t>1.</w:t>
            </w:r>
            <w:r>
              <w:rPr>
                <w:rFonts w:ascii="仿宋_GB2312" w:hAnsi="仿宋_GB2312" w:cs="仿宋_GB2312" w:eastAsia="仿宋_GB2312"/>
              </w:rPr>
              <w:t>7</w:t>
            </w:r>
            <w:r>
              <w:rPr>
                <w:rFonts w:ascii="仿宋_GB2312" w:hAnsi="仿宋_GB2312" w:cs="仿宋_GB2312" w:eastAsia="仿宋_GB2312"/>
              </w:rPr>
              <w:t>、电气控制系统</w:t>
            </w:r>
          </w:p>
          <w:p>
            <w:pPr>
              <w:pStyle w:val="null3"/>
              <w:ind w:firstLine="480"/>
              <w:jc w:val="both"/>
            </w:pPr>
            <w:r>
              <w:rPr>
                <w:rFonts w:ascii="仿宋_GB2312" w:hAnsi="仿宋_GB2312" w:cs="仿宋_GB2312" w:eastAsia="仿宋_GB2312"/>
              </w:rPr>
              <w:t>(1)控制系统采用可编程逻辑控制器(PLC)作为控制核心；</w:t>
            </w:r>
          </w:p>
          <w:p>
            <w:pPr>
              <w:pStyle w:val="null3"/>
              <w:ind w:firstLine="480"/>
              <w:jc w:val="both"/>
            </w:pPr>
            <w:r>
              <w:rPr>
                <w:rFonts w:ascii="仿宋_GB2312" w:hAnsi="仿宋_GB2312" w:cs="仿宋_GB2312" w:eastAsia="仿宋_GB2312"/>
              </w:rPr>
              <w:t>(2)推头动作采用位移传感技术，确保压缩头全行程信号的读取，可实现推头任意位置的换向动作，并可在控制室查看推头位置；</w:t>
            </w:r>
          </w:p>
          <w:p>
            <w:pPr>
              <w:pStyle w:val="null3"/>
              <w:ind w:firstLine="480"/>
              <w:jc w:val="both"/>
            </w:pPr>
            <w:r>
              <w:rPr>
                <w:rFonts w:ascii="仿宋_GB2312" w:hAnsi="仿宋_GB2312" w:cs="仿宋_GB2312" w:eastAsia="仿宋_GB2312"/>
              </w:rPr>
              <w:t>（3）控制系统具有以下功能：</w:t>
            </w:r>
          </w:p>
          <w:p>
            <w:pPr>
              <w:pStyle w:val="null3"/>
              <w:ind w:firstLine="480"/>
              <w:jc w:val="both"/>
            </w:pPr>
            <w:r>
              <w:rPr>
                <w:rFonts w:ascii="仿宋_GB2312" w:hAnsi="仿宋_GB2312" w:cs="仿宋_GB2312" w:eastAsia="仿宋_GB2312"/>
              </w:rPr>
              <w:t>a、压缩机具有全自动循环和五个自动循环功能；</w:t>
            </w:r>
          </w:p>
          <w:p>
            <w:pPr>
              <w:pStyle w:val="null3"/>
              <w:ind w:firstLine="480"/>
              <w:jc w:val="both"/>
            </w:pPr>
            <w:r>
              <w:rPr>
                <w:rFonts w:ascii="仿宋_GB2312" w:hAnsi="仿宋_GB2312" w:cs="仿宋_GB2312" w:eastAsia="仿宋_GB2312"/>
              </w:rPr>
              <w:t>b、压缩机具有强压关门程序；</w:t>
            </w:r>
          </w:p>
          <w:p>
            <w:pPr>
              <w:pStyle w:val="null3"/>
              <w:ind w:firstLine="480"/>
              <w:jc w:val="both"/>
            </w:pPr>
            <w:r>
              <w:rPr>
                <w:rFonts w:ascii="仿宋_GB2312" w:hAnsi="仿宋_GB2312" w:cs="仿宋_GB2312" w:eastAsia="仿宋_GB2312"/>
              </w:rPr>
              <w:t>c、具有故障报警功能；</w:t>
            </w:r>
          </w:p>
          <w:p>
            <w:pPr>
              <w:pStyle w:val="null3"/>
              <w:ind w:firstLine="480"/>
              <w:jc w:val="both"/>
            </w:pPr>
            <w:r>
              <w:rPr>
                <w:rFonts w:ascii="仿宋_GB2312" w:hAnsi="仿宋_GB2312" w:cs="仿宋_GB2312" w:eastAsia="仿宋_GB2312"/>
              </w:rPr>
              <w:t>d、各动作具有互锁功能；</w:t>
            </w:r>
          </w:p>
          <w:p>
            <w:pPr>
              <w:pStyle w:val="null3"/>
              <w:ind w:firstLine="480"/>
              <w:jc w:val="both"/>
            </w:pPr>
            <w:r>
              <w:rPr>
                <w:rFonts w:ascii="仿宋_GB2312" w:hAnsi="仿宋_GB2312" w:cs="仿宋_GB2312" w:eastAsia="仿宋_GB2312"/>
              </w:rPr>
              <w:t>e、压缩推头具有紧急停止和强退功能；</w:t>
            </w:r>
          </w:p>
          <w:p>
            <w:pPr>
              <w:pStyle w:val="null3"/>
              <w:ind w:firstLine="480"/>
              <w:jc w:val="both"/>
            </w:pPr>
            <w:r>
              <w:rPr>
                <w:rFonts w:ascii="仿宋_GB2312" w:hAnsi="仿宋_GB2312" w:cs="仿宋_GB2312" w:eastAsia="仿宋_GB2312"/>
              </w:rPr>
              <w:t>（4）控制系统在设备使用现场附近应设置现场控制台，作为现场紧急控制和调试、维修的控制平台，该控制平台应能优先于中央控制室的控制线路</w:t>
            </w:r>
            <w:r>
              <w:rPr>
                <w:rFonts w:ascii="仿宋_GB2312" w:hAnsi="仿宋_GB2312" w:cs="仿宋_GB2312" w:eastAsia="仿宋_GB2312"/>
              </w:rPr>
              <w:t>。</w:t>
            </w:r>
          </w:p>
          <w:p>
            <w:pPr>
              <w:pStyle w:val="null3"/>
              <w:jc w:val="both"/>
            </w:pPr>
            <w:r>
              <w:rPr>
                <w:rFonts w:ascii="仿宋_GB2312" w:hAnsi="仿宋_GB2312" w:cs="仿宋_GB2312" w:eastAsia="仿宋_GB2312"/>
                <w:b/>
              </w:rPr>
              <w:t>2、</w:t>
            </w:r>
            <w:r>
              <w:rPr>
                <w:rFonts w:ascii="仿宋_GB2312" w:hAnsi="仿宋_GB2312" w:cs="仿宋_GB2312" w:eastAsia="仿宋_GB2312"/>
                <w:b/>
              </w:rPr>
              <w:t>移箱平台</w:t>
            </w:r>
            <w:r>
              <w:rPr>
                <w:rFonts w:ascii="仿宋_GB2312" w:hAnsi="仿宋_GB2312" w:cs="仿宋_GB2312" w:eastAsia="仿宋_GB2312"/>
                <w:b/>
              </w:rPr>
              <w:t>（</w:t>
            </w:r>
            <w:r>
              <w:rPr>
                <w:rFonts w:ascii="仿宋_GB2312" w:hAnsi="仿宋_GB2312" w:cs="仿宋_GB2312" w:eastAsia="仿宋_GB2312"/>
                <w:b/>
              </w:rPr>
              <w:t>1套</w:t>
            </w:r>
            <w:r>
              <w:rPr>
                <w:rFonts w:ascii="仿宋_GB2312" w:hAnsi="仿宋_GB2312" w:cs="仿宋_GB2312" w:eastAsia="仿宋_GB2312"/>
                <w:b/>
              </w:rPr>
              <w:t>）</w:t>
            </w:r>
          </w:p>
          <w:p>
            <w:pPr>
              <w:pStyle w:val="null3"/>
              <w:ind w:firstLine="480"/>
              <w:jc w:val="both"/>
            </w:pPr>
            <w:r>
              <w:rPr>
                <w:rFonts w:ascii="仿宋_GB2312" w:hAnsi="仿宋_GB2312" w:cs="仿宋_GB2312" w:eastAsia="仿宋_GB2312"/>
              </w:rPr>
              <w:t>（1）系统组成要求：移动平台，传感器及轨道等构成</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（2）运行工艺要求：通过系统的水平移动能完成集装箱的自动换箱，空满箱的切换</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（3）技术参数及性能要求</w:t>
            </w:r>
          </w:p>
          <w:p>
            <w:pPr>
              <w:pStyle w:val="null3"/>
              <w:ind w:firstLine="480"/>
              <w:jc w:val="both"/>
            </w:pPr>
            <w:r>
              <w:rPr>
                <w:rFonts w:ascii="仿宋_GB2312" w:hAnsi="仿宋_GB2312" w:cs="仿宋_GB2312" w:eastAsia="仿宋_GB2312"/>
              </w:rPr>
              <w:t>a、平移距离能满足两箱三个工位的要求；</w:t>
            </w:r>
          </w:p>
          <w:p>
            <w:pPr>
              <w:pStyle w:val="null3"/>
              <w:ind w:firstLine="480"/>
              <w:jc w:val="both"/>
            </w:pPr>
            <w:r>
              <w:rPr>
                <w:rFonts w:ascii="仿宋_GB2312" w:hAnsi="仿宋_GB2312" w:cs="仿宋_GB2312" w:eastAsia="仿宋_GB2312"/>
              </w:rPr>
              <w:t>b、机箱分离后能实现装置的自动移位；</w:t>
            </w:r>
          </w:p>
          <w:p>
            <w:pPr>
              <w:pStyle w:val="null3"/>
              <w:ind w:firstLine="480"/>
              <w:jc w:val="both"/>
            </w:pPr>
            <w:r>
              <w:rPr>
                <w:rFonts w:ascii="仿宋_GB2312" w:hAnsi="仿宋_GB2312" w:cs="仿宋_GB2312" w:eastAsia="仿宋_GB2312"/>
              </w:rPr>
              <w:t>c、移箱装置现场配有满箱指示及控制装置</w:t>
            </w:r>
            <w:r>
              <w:rPr>
                <w:rFonts w:ascii="仿宋_GB2312" w:hAnsi="仿宋_GB2312" w:cs="仿宋_GB2312" w:eastAsia="仿宋_GB2312"/>
              </w:rPr>
              <w:t>；</w:t>
            </w:r>
          </w:p>
          <w:p>
            <w:pPr>
              <w:pStyle w:val="null3"/>
              <w:spacing w:before="120"/>
              <w:ind w:firstLine="480"/>
              <w:jc w:val="both"/>
            </w:pPr>
            <w:r>
              <w:rPr>
                <w:rFonts w:ascii="仿宋_GB2312" w:hAnsi="仿宋_GB2312" w:cs="仿宋_GB2312" w:eastAsia="仿宋_GB2312"/>
              </w:rPr>
              <w:t>（4）技术参数要求</w:t>
            </w:r>
          </w:p>
          <w:tbl>
            <w:tblPr>
              <w:tblInd w:type="dxa" w:w="540"/>
              <w:tblBorders>
                <w:top w:val="none" w:color="000000" w:sz="4"/>
                <w:left w:val="none" w:color="000000" w:sz="4"/>
                <w:bottom w:val="none" w:color="000000" w:sz="4"/>
                <w:right w:val="none" w:color="000000" w:sz="4"/>
                <w:insideH w:val="none"/>
                <w:insideV w:val="none"/>
              </w:tblBorders>
            </w:tblPr>
            <w:tblGrid>
              <w:gridCol w:w="249"/>
              <w:gridCol w:w="1165"/>
              <w:gridCol w:w="1139"/>
            </w:tblGrid>
            <w:tr>
              <w:tc>
                <w:tcPr>
                  <w:tcW w:type="dxa" w:w="2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序号</w:t>
                  </w:r>
                </w:p>
              </w:tc>
              <w:tc>
                <w:tcPr>
                  <w:tcW w:type="dxa" w:w="116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19"/>
                    </w:rPr>
                    <w:t>项 目</w:t>
                  </w:r>
                </w:p>
              </w:tc>
              <w:tc>
                <w:tcPr>
                  <w:tcW w:type="dxa" w:w="11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19"/>
                    </w:rPr>
                    <w:t>参 数</w:t>
                  </w:r>
                </w:p>
              </w:tc>
            </w:tr>
            <w:tr>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center"/>
                  </w:pPr>
                  <w:r>
                    <w:rPr>
                      <w:rFonts w:ascii="仿宋_GB2312" w:hAnsi="仿宋_GB2312" w:cs="仿宋_GB2312" w:eastAsia="仿宋_GB2312"/>
                      <w:sz w:val="19"/>
                    </w:rPr>
                    <w:t>1</w:t>
                  </w:r>
                </w:p>
              </w:tc>
              <w:tc>
                <w:tcPr>
                  <w:tcW w:type="dxa" w:w="11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19"/>
                    </w:rPr>
                    <w:t>移箱型式</w:t>
                  </w:r>
                </w:p>
              </w:tc>
              <w:tc>
                <w:tcPr>
                  <w:tcW w:type="dxa" w:w="1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19"/>
                    </w:rPr>
                    <w:t>液压或电机驱动</w:t>
                  </w:r>
                </w:p>
              </w:tc>
            </w:tr>
            <w:tr>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center"/>
                  </w:pPr>
                  <w:r>
                    <w:rPr>
                      <w:rFonts w:ascii="仿宋_GB2312" w:hAnsi="仿宋_GB2312" w:cs="仿宋_GB2312" w:eastAsia="仿宋_GB2312"/>
                      <w:sz w:val="19"/>
                    </w:rPr>
                    <w:t>2</w:t>
                  </w:r>
                </w:p>
              </w:tc>
              <w:tc>
                <w:tcPr>
                  <w:tcW w:type="dxa" w:w="11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19"/>
                    </w:rPr>
                    <w:t>移箱速度</w:t>
                  </w:r>
                </w:p>
              </w:tc>
              <w:tc>
                <w:tcPr>
                  <w:tcW w:type="dxa" w:w="1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19"/>
                    </w:rPr>
                    <w:t>≤5m/min</w:t>
                  </w:r>
                </w:p>
              </w:tc>
            </w:tr>
            <w:tr>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center"/>
                  </w:pPr>
                  <w:r>
                    <w:rPr>
                      <w:rFonts w:ascii="仿宋_GB2312" w:hAnsi="仿宋_GB2312" w:cs="仿宋_GB2312" w:eastAsia="仿宋_GB2312"/>
                      <w:sz w:val="19"/>
                    </w:rPr>
                    <w:t>3</w:t>
                  </w:r>
                </w:p>
              </w:tc>
              <w:tc>
                <w:tcPr>
                  <w:tcW w:type="dxa" w:w="11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19"/>
                    </w:rPr>
                    <w:t>移箱间距</w:t>
                  </w:r>
                </w:p>
              </w:tc>
              <w:tc>
                <w:tcPr>
                  <w:tcW w:type="dxa" w:w="1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r>
                    <w:rPr>
                      <w:rFonts w:ascii="仿宋_GB2312" w:hAnsi="仿宋_GB2312" w:cs="仿宋_GB2312" w:eastAsia="仿宋_GB2312"/>
                      <w:sz w:val="19"/>
                    </w:rPr>
                    <w:t>≥2800mm</w:t>
                  </w:r>
                </w:p>
              </w:tc>
            </w:tr>
          </w:tbl>
          <w:p>
            <w:pPr>
              <w:pStyle w:val="null3"/>
              <w:jc w:val="both"/>
            </w:pPr>
            <w:r>
              <w:rPr>
                <w:rFonts w:ascii="仿宋_GB2312" w:hAnsi="仿宋_GB2312" w:cs="仿宋_GB2312" w:eastAsia="仿宋_GB2312"/>
                <w:b/>
              </w:rPr>
              <w:t>3、</w:t>
            </w:r>
            <w:r>
              <w:rPr>
                <w:rFonts w:ascii="仿宋_GB2312" w:hAnsi="仿宋_GB2312" w:cs="仿宋_GB2312" w:eastAsia="仿宋_GB2312"/>
                <w:b/>
              </w:rPr>
              <w:t>转运箱</w:t>
            </w:r>
            <w:r>
              <w:rPr>
                <w:rFonts w:ascii="仿宋_GB2312" w:hAnsi="仿宋_GB2312" w:cs="仿宋_GB2312" w:eastAsia="仿宋_GB2312"/>
                <w:b/>
              </w:rPr>
              <w:t>（</w:t>
            </w:r>
            <w:r>
              <w:rPr>
                <w:rFonts w:ascii="仿宋_GB2312" w:hAnsi="仿宋_GB2312" w:cs="仿宋_GB2312" w:eastAsia="仿宋_GB2312"/>
                <w:b/>
              </w:rPr>
              <w:t>2台</w:t>
            </w:r>
            <w:r>
              <w:rPr>
                <w:rFonts w:ascii="仿宋_GB2312" w:hAnsi="仿宋_GB2312" w:cs="仿宋_GB2312" w:eastAsia="仿宋_GB2312"/>
                <w:b/>
              </w:rPr>
              <w:t>）</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箱体</w:t>
            </w:r>
            <w:r>
              <w:rPr>
                <w:rFonts w:ascii="仿宋_GB2312" w:hAnsi="仿宋_GB2312" w:cs="仿宋_GB2312" w:eastAsia="仿宋_GB2312"/>
              </w:rPr>
              <w:t>采用少筋框架结构，箱体整体外形美观；</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）箱体框架部位采用耐腐蚀高强度钢板，其主要材质的屈服极限≥</w:t>
            </w:r>
            <w:r>
              <w:rPr>
                <w:rFonts w:ascii="仿宋_GB2312" w:hAnsi="仿宋_GB2312" w:cs="仿宋_GB2312" w:eastAsia="仿宋_GB2312"/>
              </w:rPr>
              <w:t>5</w:t>
            </w:r>
            <w:r>
              <w:rPr>
                <w:rFonts w:ascii="仿宋_GB2312" w:hAnsi="仿宋_GB2312" w:cs="仿宋_GB2312" w:eastAsia="仿宋_GB2312"/>
              </w:rPr>
              <w:t>00Mpa；</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）箱体内部需采用特殊设计，保证内部空间都填满垃圾，无空隙现象；</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箱体</w:t>
            </w:r>
            <w:r>
              <w:rPr>
                <w:rFonts w:ascii="仿宋_GB2312" w:hAnsi="仿宋_GB2312" w:cs="仿宋_GB2312" w:eastAsia="仿宋_GB2312"/>
              </w:rPr>
              <w:t>底板两侧设计有多孔板，形成有效储水隔层，以便于污水更流畅排出；</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箱体后门采用双层结构，内门为提升闸门，用于与闸门提升装置对接，为上下开闭方向，外门为密封门，在垃圾运输和垃圾压缩的过程中密闭，保证无污水滴漏；</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）保证后门的密封性，采用迷宫式密封胶条；</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）箱体后门外侧安装副后门，副后门用于辅助密封及外观保持；</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）箱体内部需采用相关设计，保证上部挤压出的渗沥液，可以有效导流至箱体下部排出；</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）技术参数</w:t>
            </w:r>
            <w:r>
              <w:rPr>
                <w:rFonts w:ascii="仿宋_GB2312" w:hAnsi="仿宋_GB2312" w:cs="仿宋_GB2312" w:eastAsia="仿宋_GB2312"/>
              </w:rPr>
              <w:t>（</w:t>
            </w:r>
            <w:r>
              <w:rPr>
                <w:rFonts w:ascii="仿宋_GB2312" w:hAnsi="仿宋_GB2312" w:cs="仿宋_GB2312" w:eastAsia="仿宋_GB2312"/>
              </w:rPr>
              <w:t>单箱</w:t>
            </w:r>
            <w:r>
              <w:rPr>
                <w:rFonts w:ascii="仿宋_GB2312" w:hAnsi="仿宋_GB2312" w:cs="仿宋_GB2312" w:eastAsia="仿宋_GB2312"/>
              </w:rPr>
              <w:t>）</w:t>
            </w:r>
          </w:p>
          <w:tbl>
            <w:tblPr>
              <w:tblBorders>
                <w:top w:val="none" w:color="000000" w:sz="4"/>
                <w:left w:val="none" w:color="000000" w:sz="4"/>
                <w:bottom w:val="none" w:color="000000" w:sz="4"/>
                <w:right w:val="none" w:color="000000" w:sz="4"/>
                <w:insideH w:val="none"/>
                <w:insideV w:val="none"/>
              </w:tblBorders>
            </w:tblPr>
            <w:tblGrid>
              <w:gridCol w:w="351"/>
              <w:gridCol w:w="807"/>
              <w:gridCol w:w="1394"/>
            </w:tblGrid>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≥22m³</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箱体底板厚度</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 mm</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箱体侧板厚度</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 mm</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后门锁紧方式</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液压锁紧</w:t>
                  </w:r>
                </w:p>
              </w:tc>
            </w:tr>
          </w:tbl>
          <w:p>
            <w:pPr>
              <w:pStyle w:val="null3"/>
              <w:ind w:firstLine="480"/>
              <w:jc w:val="both"/>
            </w:pPr>
            <w:r>
              <w:rPr>
                <w:rFonts w:ascii="仿宋_GB2312" w:hAnsi="仿宋_GB2312" w:cs="仿宋_GB2312" w:eastAsia="仿宋_GB2312"/>
              </w:rPr>
              <w:t>（10）成交单位负责对采购人现有2台垃圾压缩箱体（长、宽、高6000mmX2500mmX2400mm)及推料口截面（宽、高1900mmX745mm)进行改造，确保与成交设备兼容适配,实现原垃圾压缩箱体与水平式压缩主机精准对接，同时满足现有勾臂车的装卸作业要求，保障原垃圾压缩箱体改造后可投入正常使用。</w:t>
            </w:r>
          </w:p>
          <w:p>
            <w:pPr>
              <w:pStyle w:val="null3"/>
              <w:jc w:val="both"/>
            </w:pPr>
            <w:r>
              <w:rPr>
                <w:rFonts w:ascii="仿宋_GB2312" w:hAnsi="仿宋_GB2312" w:cs="仿宋_GB2312" w:eastAsia="仿宋_GB2312"/>
                <w:b/>
              </w:rPr>
              <w:t>4、控制中心（1套）</w:t>
            </w:r>
          </w:p>
          <w:p>
            <w:pPr>
              <w:pStyle w:val="null3"/>
              <w:jc w:val="both"/>
            </w:pPr>
            <w:r>
              <w:rPr>
                <w:rFonts w:ascii="仿宋_GB2312" w:hAnsi="仿宋_GB2312" w:cs="仿宋_GB2312" w:eastAsia="仿宋_GB2312"/>
              </w:rPr>
              <w:t>4.1</w:t>
            </w:r>
            <w:r>
              <w:rPr>
                <w:rFonts w:ascii="仿宋_GB2312" w:hAnsi="仿宋_GB2312" w:cs="仿宋_GB2312" w:eastAsia="仿宋_GB2312"/>
              </w:rPr>
              <w:t>、功能概述</w:t>
            </w:r>
          </w:p>
          <w:p>
            <w:pPr>
              <w:pStyle w:val="null3"/>
              <w:ind w:firstLine="480"/>
              <w:jc w:val="both"/>
            </w:pPr>
            <w:r>
              <w:rPr>
                <w:rFonts w:ascii="仿宋_GB2312" w:hAnsi="仿宋_GB2312" w:cs="仿宋_GB2312" w:eastAsia="仿宋_GB2312"/>
              </w:rPr>
              <w:t>控制中心包含压缩设备上位机控制系统及大屏显示系统，可以实现设备的远程操作，以及卸料车辆的进站指挥等功能。</w:t>
            </w:r>
          </w:p>
          <w:p>
            <w:pPr>
              <w:pStyle w:val="null3"/>
              <w:jc w:val="both"/>
            </w:pPr>
            <w:r>
              <w:rPr>
                <w:rFonts w:ascii="仿宋_GB2312" w:hAnsi="仿宋_GB2312" w:cs="仿宋_GB2312" w:eastAsia="仿宋_GB2312"/>
              </w:rPr>
              <w:t>4.</w:t>
            </w:r>
            <w:r>
              <w:rPr>
                <w:rFonts w:ascii="仿宋_GB2312" w:hAnsi="仿宋_GB2312" w:cs="仿宋_GB2312" w:eastAsia="仿宋_GB2312"/>
              </w:rPr>
              <w:t>2、功能列表</w:t>
            </w:r>
          </w:p>
          <w:tbl>
            <w:tblPr>
              <w:tblBorders>
                <w:top w:val="none" w:color="000000" w:sz="4"/>
                <w:left w:val="none" w:color="000000" w:sz="4"/>
                <w:bottom w:val="none" w:color="000000" w:sz="4"/>
                <w:right w:val="none" w:color="000000" w:sz="4"/>
                <w:insideH w:val="none"/>
                <w:insideV w:val="none"/>
              </w:tblBorders>
            </w:tblPr>
            <w:tblGrid>
              <w:gridCol w:w="232"/>
              <w:gridCol w:w="694"/>
              <w:gridCol w:w="926"/>
              <w:gridCol w:w="233"/>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系统名称</w:t>
                  </w:r>
                </w:p>
              </w:tc>
              <w:tc>
                <w:tcPr>
                  <w:tcW w:type="dxa" w:w="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功能名称</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控制中心</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压缩设备上位机控制系统</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套</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94"/>
                  <w:vMerge/>
                  <w:tcBorders>
                    <w:top w:val="none" w:color="000000" w:sz="4"/>
                    <w:left w:val="single" w:color="000000" w:sz="4"/>
                    <w:bottom w:val="single" w:color="000000" w:sz="4"/>
                    <w:right w:val="single" w:color="000000" w:sz="4"/>
                  </w:tcBorders>
                </w:tcP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大屏显示系统</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套</w:t>
                  </w:r>
                </w:p>
              </w:tc>
            </w:tr>
          </w:tbl>
          <w:p>
            <w:pPr>
              <w:pStyle w:val="null3"/>
              <w:jc w:val="both"/>
            </w:pPr>
            <w:r>
              <w:rPr>
                <w:rFonts w:ascii="仿宋_GB2312" w:hAnsi="仿宋_GB2312" w:cs="仿宋_GB2312" w:eastAsia="仿宋_GB2312"/>
              </w:rPr>
              <w:t>4.</w:t>
            </w:r>
            <w:r>
              <w:rPr>
                <w:rFonts w:ascii="仿宋_GB2312" w:hAnsi="仿宋_GB2312" w:cs="仿宋_GB2312" w:eastAsia="仿宋_GB2312"/>
              </w:rPr>
              <w:t>3、性能要求</w:t>
            </w:r>
          </w:p>
          <w:p>
            <w:pPr>
              <w:pStyle w:val="null3"/>
              <w:jc w:val="both"/>
            </w:pPr>
            <w:r>
              <w:rPr>
                <w:rFonts w:ascii="仿宋_GB2312" w:hAnsi="仿宋_GB2312" w:cs="仿宋_GB2312" w:eastAsia="仿宋_GB2312"/>
              </w:rPr>
              <w:t>（1）压缩设备上位机控制系统</w:t>
            </w:r>
          </w:p>
          <w:p>
            <w:pPr>
              <w:pStyle w:val="null3"/>
              <w:ind w:firstLine="480"/>
              <w:jc w:val="both"/>
            </w:pPr>
            <w:r>
              <w:rPr>
                <w:rFonts w:ascii="仿宋_GB2312" w:hAnsi="仿宋_GB2312" w:cs="仿宋_GB2312" w:eastAsia="仿宋_GB2312"/>
              </w:rPr>
              <w:t>该系统通过网络连接获取站内设备的实时工作状态并可对设备集中、统一控制，对所有设备的控制功能可在一台主机电脑及一个画面中实现。监控需同压缩设备协同配合，监控画面可根据压缩设备的工作状态切换画面。设备控制中压缩设备及附属设备为三维模型展示，并可切换不同三维视角查看设备工作状态。</w:t>
            </w:r>
          </w:p>
          <w:p>
            <w:pPr>
              <w:pStyle w:val="null3"/>
              <w:ind w:firstLine="480"/>
              <w:jc w:val="both"/>
            </w:pPr>
            <w:r>
              <w:rPr>
                <w:rFonts w:ascii="仿宋_GB2312" w:hAnsi="仿宋_GB2312" w:cs="仿宋_GB2312" w:eastAsia="仿宋_GB2312"/>
              </w:rPr>
              <w:t>具有视频显示、设备操作、动态状态显示、工作日志、报警日志、设备配置等功能。</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）大屏显示系统</w:t>
            </w:r>
          </w:p>
          <w:p>
            <w:pPr>
              <w:pStyle w:val="null3"/>
              <w:ind w:firstLine="480"/>
              <w:jc w:val="both"/>
            </w:pPr>
            <w:r>
              <w:rPr>
                <w:rFonts w:ascii="仿宋_GB2312" w:hAnsi="仿宋_GB2312" w:cs="仿宋_GB2312" w:eastAsia="仿宋_GB2312"/>
              </w:rPr>
              <w:t>可通过与站内监控的连接实现远程画面显示。</w:t>
            </w:r>
          </w:p>
          <w:p>
            <w:pPr>
              <w:pStyle w:val="null3"/>
              <w:ind w:firstLine="480"/>
              <w:jc w:val="both"/>
            </w:pPr>
            <w:r>
              <w:rPr>
                <w:rFonts w:ascii="仿宋_GB2312" w:hAnsi="仿宋_GB2312" w:cs="仿宋_GB2312" w:eastAsia="仿宋_GB2312"/>
              </w:rPr>
              <w:t>用途：显示屏幕设在中控室，并能全面显示中转站监控的画面，使中控室领导和中控室操作人员全面了解中转站设备和其他方面的工作情况，更好</w:t>
            </w:r>
            <w:r>
              <w:rPr>
                <w:rFonts w:ascii="仿宋_GB2312" w:hAnsi="仿宋_GB2312" w:cs="仿宋_GB2312" w:eastAsia="仿宋_GB2312"/>
              </w:rPr>
              <w:t>地</w:t>
            </w:r>
            <w:r>
              <w:rPr>
                <w:rFonts w:ascii="仿宋_GB2312" w:hAnsi="仿宋_GB2312" w:cs="仿宋_GB2312" w:eastAsia="仿宋_GB2312"/>
              </w:rPr>
              <w:t>控制设备运行</w:t>
            </w:r>
            <w:r>
              <w:rPr>
                <w:rFonts w:ascii="仿宋_GB2312" w:hAnsi="仿宋_GB2312" w:cs="仿宋_GB2312" w:eastAsia="仿宋_GB2312"/>
              </w:rPr>
              <w:t>。</w:t>
            </w:r>
          </w:p>
          <w:p>
            <w:pPr>
              <w:pStyle w:val="null3"/>
              <w:jc w:val="both"/>
            </w:pPr>
            <w:r>
              <w:rPr>
                <w:rFonts w:ascii="仿宋_GB2312" w:hAnsi="仿宋_GB2312" w:cs="仿宋_GB2312" w:eastAsia="仿宋_GB2312"/>
              </w:rPr>
              <w:t>4.</w:t>
            </w:r>
            <w:r>
              <w:rPr>
                <w:rFonts w:ascii="仿宋_GB2312" w:hAnsi="仿宋_GB2312" w:cs="仿宋_GB2312" w:eastAsia="仿宋_GB2312"/>
              </w:rPr>
              <w:t>4、技术参数</w:t>
            </w:r>
          </w:p>
          <w:p>
            <w:pPr>
              <w:pStyle w:val="null3"/>
              <w:jc w:val="both"/>
            </w:pPr>
            <w:r>
              <w:rPr>
                <w:rFonts w:ascii="仿宋_GB2312" w:hAnsi="仿宋_GB2312" w:cs="仿宋_GB2312" w:eastAsia="仿宋_GB2312"/>
              </w:rPr>
              <w:t>1站1机位</w:t>
            </w:r>
          </w:p>
          <w:tbl>
            <w:tblPr>
              <w:tblBorders>
                <w:top w:val="none" w:color="000000" w:sz="4"/>
                <w:left w:val="none" w:color="000000" w:sz="4"/>
                <w:bottom w:val="none" w:color="000000" w:sz="4"/>
                <w:right w:val="none" w:color="000000" w:sz="4"/>
                <w:insideH w:val="none"/>
                <w:insideV w:val="none"/>
              </w:tblBorders>
            </w:tblPr>
            <w:tblGrid>
              <w:gridCol w:w="201"/>
              <w:gridCol w:w="389"/>
              <w:gridCol w:w="531"/>
              <w:gridCol w:w="1187"/>
              <w:gridCol w:w="244"/>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92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 目</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压缩设备上位机控制系统</w:t>
                  </w:r>
                </w:p>
              </w:tc>
              <w:tc>
                <w:tcPr>
                  <w:tcW w:type="dxa" w:w="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电脑和操作系统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核心主机：国产自主研发品牌</w:t>
                  </w:r>
                </w:p>
              </w:tc>
              <w:tc>
                <w:tcPr>
                  <w:tcW w:type="dxa" w:w="2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01"/>
                  <w:vMerge/>
                  <w:tcBorders>
                    <w:top w:val="none" w:color="000000" w:sz="4"/>
                    <w:left w:val="singl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531"/>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处理器：配置国产处理器，CPU物理核心数≥8核，CPU主频≥2.7GHz主频</w:t>
                  </w:r>
                </w:p>
              </w:tc>
              <w:tc>
                <w:tcPr>
                  <w:tcW w:type="dxa" w:w="244"/>
                  <w:vMerge/>
                  <w:tcBorders>
                    <w:top w:val="single" w:color="000000" w:sz="4"/>
                    <w:left w:val="none" w:color="000000" w:sz="4"/>
                    <w:bottom w:val="single" w:color="000000" w:sz="4"/>
                    <w:right w:val="single" w:color="000000" w:sz="4"/>
                  </w:tcBorders>
                </w:tcPr>
                <w:p/>
              </w:tc>
            </w:tr>
            <w:tr>
              <w:tc>
                <w:tcPr>
                  <w:tcW w:type="dxa" w:w="201"/>
                  <w:vMerge/>
                  <w:tcBorders>
                    <w:top w:val="none" w:color="000000" w:sz="4"/>
                    <w:left w:val="singl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531"/>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9"/>
                    </w:rPr>
                    <w:t>显示器尺寸：≥23.8英寸</w:t>
                  </w:r>
                </w:p>
              </w:tc>
              <w:tc>
                <w:tcPr>
                  <w:tcW w:type="dxa" w:w="244"/>
                  <w:vMerge/>
                  <w:tcBorders>
                    <w:top w:val="single" w:color="000000" w:sz="4"/>
                    <w:left w:val="none" w:color="000000" w:sz="4"/>
                    <w:bottom w:val="single" w:color="000000" w:sz="4"/>
                    <w:right w:val="single" w:color="000000" w:sz="4"/>
                  </w:tcBorders>
                </w:tcPr>
                <w:p/>
              </w:tc>
            </w:tr>
            <w:tr>
              <w:tc>
                <w:tcPr>
                  <w:tcW w:type="dxa" w:w="201"/>
                  <w:vMerge/>
                  <w:tcBorders>
                    <w:top w:val="none" w:color="000000" w:sz="4"/>
                    <w:left w:val="singl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531"/>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9"/>
                    </w:rPr>
                    <w:t>显示器分辨率：≥1920*1080</w:t>
                  </w:r>
                </w:p>
              </w:tc>
              <w:tc>
                <w:tcPr>
                  <w:tcW w:type="dxa" w:w="244"/>
                  <w:vMerge/>
                  <w:tcBorders>
                    <w:top w:val="single" w:color="000000" w:sz="4"/>
                    <w:left w:val="none" w:color="000000" w:sz="4"/>
                    <w:bottom w:val="single" w:color="000000" w:sz="4"/>
                    <w:right w:val="single" w:color="000000" w:sz="4"/>
                  </w:tcBorders>
                </w:tcPr>
                <w:p/>
              </w:tc>
            </w:tr>
            <w:tr>
              <w:tc>
                <w:tcPr>
                  <w:tcW w:type="dxa" w:w="201"/>
                  <w:vMerge/>
                  <w:tcBorders>
                    <w:top w:val="none" w:color="000000" w:sz="4"/>
                    <w:left w:val="singl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531"/>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9"/>
                    </w:rPr>
                    <w:t>操作系统：国产操作系统；</w:t>
                  </w:r>
                </w:p>
              </w:tc>
              <w:tc>
                <w:tcPr>
                  <w:tcW w:type="dxa" w:w="244"/>
                  <w:vMerge/>
                  <w:tcBorders>
                    <w:top w:val="single" w:color="000000" w:sz="4"/>
                    <w:left w:val="none" w:color="000000" w:sz="4"/>
                    <w:bottom w:val="single" w:color="000000" w:sz="4"/>
                    <w:right w:val="single" w:color="000000" w:sz="4"/>
                  </w:tcBorders>
                </w:tc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389"/>
                  <w:vMerge/>
                  <w:tcBorders>
                    <w:top w:val="none" w:color="000000" w:sz="4"/>
                    <w:left w:val="none" w:color="000000" w:sz="4"/>
                    <w:bottom w:val="single" w:color="000000" w:sz="4"/>
                    <w:right w:val="single" w:color="000000" w:sz="4"/>
                  </w:tcBorders>
                </w:tcPr>
                <w:p/>
              </w:tc>
              <w:tc>
                <w:tcPr>
                  <w:tcW w:type="dxa" w:w="531"/>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9"/>
                    </w:rPr>
                    <w:t>硬盘：≥1TB SSD</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9"/>
                  <w:vMerge/>
                  <w:tcBorders>
                    <w:top w:val="none" w:color="000000" w:sz="4"/>
                    <w:left w:val="none" w:color="000000" w:sz="4"/>
                    <w:bottom w:val="single" w:color="000000" w:sz="4"/>
                    <w:right w:val="single" w:color="000000" w:sz="4"/>
                  </w:tcBorders>
                </w:tcPr>
                <w:p/>
              </w:tc>
              <w:tc>
                <w:tcPr>
                  <w:tcW w:type="dxa" w:w="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千兆核心智能型交换机</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与上位机控制系统的管理平台兼容、背板带宽：96Gbps；包转发率：71.4Mpps</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01"/>
                  <w:vMerge/>
                  <w:tcBorders>
                    <w:top w:val="none" w:color="000000" w:sz="4"/>
                    <w:left w:val="singl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531"/>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端口描述：24个10/100/1000Mbps自适应以太网口</w:t>
                  </w:r>
                </w:p>
              </w:tc>
              <w:tc>
                <w:tcPr>
                  <w:tcW w:type="dxa" w:w="244"/>
                  <w:vMerge/>
                  <w:tcBorders>
                    <w:top w:val="none" w:color="000000" w:sz="4"/>
                    <w:left w:val="none" w:color="000000" w:sz="4"/>
                    <w:bottom w:val="single" w:color="000000" w:sz="4"/>
                    <w:right w:val="single" w:color="000000" w:sz="4"/>
                  </w:tcBorders>
                </w:tcP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89"/>
                  <w:vMerge/>
                  <w:tcBorders>
                    <w:top w:val="none" w:color="000000" w:sz="4"/>
                    <w:left w:val="none" w:color="000000" w:sz="4"/>
                    <w:bottom w:val="single" w:color="000000" w:sz="4"/>
                    <w:right w:val="single" w:color="000000" w:sz="4"/>
                  </w:tcBorders>
                </w:tcPr>
                <w:p/>
              </w:tc>
              <w:tc>
                <w:tcPr>
                  <w:tcW w:type="dxa" w:w="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控制台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材质：钢木</w:t>
                  </w:r>
                </w:p>
              </w:tc>
              <w:tc>
                <w:tcPr>
                  <w:tcW w:type="dxa" w:w="2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01"/>
                  <w:vMerge/>
                  <w:tcBorders>
                    <w:top w:val="none" w:color="000000" w:sz="4"/>
                    <w:left w:val="singl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531"/>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控制台尺寸（长、宽、高≥2000×800×700mm）</w:t>
                  </w:r>
                </w:p>
              </w:tc>
              <w:tc>
                <w:tcPr>
                  <w:tcW w:type="dxa" w:w="244"/>
                  <w:vMerge/>
                  <w:tcBorders>
                    <w:top w:val="none" w:color="000000" w:sz="4"/>
                    <w:left w:val="none" w:color="000000" w:sz="4"/>
                    <w:bottom w:val="single" w:color="000000" w:sz="4"/>
                    <w:right w:val="single" w:color="000000" w:sz="4"/>
                  </w:tcBorders>
                </w:tc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89"/>
                  <w:vMerge/>
                  <w:tcBorders>
                    <w:top w:val="none" w:color="000000" w:sz="4"/>
                    <w:left w:val="none" w:color="000000" w:sz="4"/>
                    <w:bottom w:val="single" w:color="000000" w:sz="4"/>
                    <w:right w:val="single" w:color="000000" w:sz="4"/>
                  </w:tcBorders>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上位机定制控制平台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满足整体设备的集成与定制开发</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大屏显示系统</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显示屏</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屏幕尺寸≥100英寸；</w:t>
                  </w:r>
                </w:p>
                <w:p>
                  <w:pPr>
                    <w:pStyle w:val="null3"/>
                    <w:spacing w:before="120"/>
                    <w:jc w:val="center"/>
                  </w:pPr>
                  <w:r>
                    <w:rPr>
                      <w:rFonts w:ascii="仿宋_GB2312" w:hAnsi="仿宋_GB2312" w:cs="仿宋_GB2312" w:eastAsia="仿宋_GB2312"/>
                      <w:sz w:val="19"/>
                    </w:rPr>
                    <w:t>屏幕分辨率：超高清4K</w:t>
                  </w:r>
                </w:p>
                <w:p>
                  <w:pPr>
                    <w:pStyle w:val="null3"/>
                    <w:spacing w:before="120"/>
                    <w:jc w:val="center"/>
                  </w:pPr>
                  <w:r>
                    <w:rPr>
                      <w:rFonts w:ascii="仿宋_GB2312" w:hAnsi="仿宋_GB2312" w:cs="仿宋_GB2312" w:eastAsia="仿宋_GB2312"/>
                      <w:sz w:val="19"/>
                    </w:rPr>
                    <w:t>屏幕比例：16：9</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19"/>
                    </w:rPr>
                    <w:t>1套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89"/>
                  <w:vMerge/>
                  <w:tcBorders>
                    <w:top w:val="none" w:color="000000" w:sz="4"/>
                    <w:left w:val="none" w:color="000000" w:sz="4"/>
                    <w:bottom w:val="single" w:color="000000" w:sz="4"/>
                    <w:right w:val="single" w:color="000000" w:sz="4"/>
                  </w:tcBorders>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安装支架及辅材</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满足显示系统的安装要求；</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bl>
          <w:p>
            <w:pPr>
              <w:pStyle w:val="null3"/>
              <w:spacing w:before="120"/>
              <w:jc w:val="both"/>
            </w:pPr>
            <w:r>
              <w:rPr>
                <w:rFonts w:ascii="仿宋_GB2312" w:hAnsi="仿宋_GB2312" w:cs="仿宋_GB2312" w:eastAsia="仿宋_GB2312"/>
                <w:b/>
              </w:rPr>
              <w:t>5、设备视频监控（1套）</w:t>
            </w:r>
          </w:p>
          <w:p>
            <w:pPr>
              <w:pStyle w:val="null3"/>
              <w:ind w:firstLine="480"/>
              <w:jc w:val="both"/>
            </w:pPr>
            <w:r>
              <w:rPr>
                <w:rFonts w:ascii="仿宋_GB2312" w:hAnsi="仿宋_GB2312" w:cs="仿宋_GB2312" w:eastAsia="仿宋_GB2312"/>
              </w:rPr>
              <w:t>视频监控主要是通过数字监控摄像头对设备场地人员和设备运行状况进行有效</w:t>
            </w:r>
            <w:r>
              <w:rPr>
                <w:rFonts w:ascii="仿宋_GB2312" w:hAnsi="仿宋_GB2312" w:cs="仿宋_GB2312" w:eastAsia="仿宋_GB2312"/>
              </w:rPr>
              <w:t>地</w:t>
            </w:r>
            <w:r>
              <w:rPr>
                <w:rFonts w:ascii="仿宋_GB2312" w:hAnsi="仿宋_GB2312" w:cs="仿宋_GB2312" w:eastAsia="仿宋_GB2312"/>
              </w:rPr>
              <w:t>监控，保证设备和人员安全。系统根据由监控摄像机、硬盘录像机、宽屏液晶监视器和网络交换机等几大部分组成。</w:t>
            </w:r>
          </w:p>
          <w:p>
            <w:pPr>
              <w:pStyle w:val="null3"/>
              <w:ind w:firstLine="480"/>
              <w:jc w:val="both"/>
            </w:pPr>
            <w:r>
              <w:rPr>
                <w:rFonts w:ascii="仿宋_GB2312" w:hAnsi="仿宋_GB2312" w:cs="仿宋_GB2312" w:eastAsia="仿宋_GB2312"/>
              </w:rPr>
              <w:t>主要监控点：抱爪机构、提门机构、倒料口、压缩腔、收集车回转场地、拉臂车勾箱位置。</w:t>
            </w:r>
          </w:p>
          <w:p>
            <w:pPr>
              <w:pStyle w:val="null3"/>
              <w:spacing w:before="120"/>
              <w:ind w:firstLine="480"/>
              <w:jc w:val="both"/>
            </w:pPr>
            <w:r>
              <w:rPr>
                <w:rFonts w:ascii="仿宋_GB2312" w:hAnsi="仿宋_GB2312" w:cs="仿宋_GB2312" w:eastAsia="仿宋_GB2312"/>
              </w:rPr>
              <w:t>通过摄像机和控制元器件及液晶显示器，对站房内设备卸料、拉箱及运行状况实施监视，所有监控的实时图像应能传送到控制中心的远程监控主机上。</w:t>
            </w:r>
          </w:p>
          <w:tbl>
            <w:tblPr>
              <w:tblBorders>
                <w:top w:val="none" w:color="000000" w:sz="4"/>
                <w:left w:val="none" w:color="000000" w:sz="4"/>
                <w:bottom w:val="none" w:color="000000" w:sz="4"/>
                <w:right w:val="none" w:color="000000" w:sz="4"/>
                <w:insideH w:val="none"/>
                <w:insideV w:val="none"/>
              </w:tblBorders>
            </w:tblPr>
            <w:tblGrid>
              <w:gridCol w:w="188"/>
              <w:gridCol w:w="299"/>
              <w:gridCol w:w="561"/>
              <w:gridCol w:w="1110"/>
              <w:gridCol w:w="229"/>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8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 目</w:t>
                  </w:r>
                </w:p>
              </w:tc>
              <w:tc>
                <w:tcPr>
                  <w:tcW w:type="dxa" w:w="1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设备视频监控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IP数字网络摄像机（枪机POE）</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有效像素≥400万；</w:t>
                  </w:r>
                </w:p>
                <w:p>
                  <w:pPr>
                    <w:pStyle w:val="null3"/>
                    <w:jc w:val="center"/>
                  </w:pPr>
                  <w:r>
                    <w:rPr>
                      <w:rFonts w:ascii="仿宋_GB2312" w:hAnsi="仿宋_GB2312" w:cs="仿宋_GB2312" w:eastAsia="仿宋_GB2312"/>
                      <w:sz w:val="19"/>
                    </w:rPr>
                    <w:t>水平视场角：：70-90°或更优</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6个</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9"/>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IP数字网络摄像机(球机)</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变焦≥20倍、最低照度：彩色0.5Lux、黑白0.005Lux</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2个</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99"/>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网络硬盘录像机</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工业级嵌入式微控制器，视频输入：支持720P/1080P，视频输出：1路VGA输出，1路HDMI输出</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1个</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99"/>
                  <w:vMerge/>
                  <w:tcBorders>
                    <w:top w:val="none" w:color="000000" w:sz="4"/>
                    <w:left w:val="none" w:color="000000" w:sz="4"/>
                    <w:bottom w:val="single" w:color="000000" w:sz="4"/>
                    <w:right w:val="single" w:color="000000" w:sz="4"/>
                  </w:tcBorders>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硬盘</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≥8TB</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1个</w:t>
                  </w:r>
                </w:p>
              </w:tc>
            </w:tr>
          </w:tbl>
          <w:p>
            <w:pPr>
              <w:pStyle w:val="null3"/>
              <w:spacing w:before="120"/>
              <w:jc w:val="both"/>
            </w:pPr>
            <w:r>
              <w:rPr>
                <w:rFonts w:ascii="仿宋_GB2312" w:hAnsi="仿宋_GB2312" w:cs="仿宋_GB2312" w:eastAsia="仿宋_GB2312"/>
                <w:b/>
              </w:rPr>
              <w:t>6、空间喷淋除臭系统（1套）</w:t>
            </w:r>
          </w:p>
          <w:tbl>
            <w:tblPr>
              <w:tblBorders>
                <w:top w:val="none" w:color="000000" w:sz="4"/>
                <w:left w:val="none" w:color="000000" w:sz="4"/>
                <w:bottom w:val="none" w:color="000000" w:sz="4"/>
                <w:right w:val="none" w:color="000000" w:sz="4"/>
                <w:insideH w:val="none"/>
                <w:insideV w:val="none"/>
              </w:tblBorders>
            </w:tblPr>
            <w:tblGrid>
              <w:gridCol w:w="207"/>
              <w:gridCol w:w="488"/>
              <w:gridCol w:w="581"/>
              <w:gridCol w:w="905"/>
              <w:gridCol w:w="372"/>
            </w:tblGrid>
            <w:tr>
              <w:tc>
                <w:tcPr>
                  <w:tcW w:type="dxa" w:w="20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rPr>
                    <w:t>序号</w:t>
                  </w:r>
                </w:p>
              </w:tc>
              <w:tc>
                <w:tcPr>
                  <w:tcW w:type="dxa" w:w="48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rPr>
                    <w:t>项目</w:t>
                  </w:r>
                </w:p>
              </w:tc>
              <w:tc>
                <w:tcPr>
                  <w:tcW w:type="dxa" w:w="1486"/>
                  <w:gridSpan w:val="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rPr>
                    <w:t>参数</w:t>
                  </w:r>
                </w:p>
              </w:tc>
              <w:tc>
                <w:tcPr>
                  <w:tcW w:type="dxa" w:w="37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rPr>
                    <w:t>数量</w:t>
                  </w:r>
                </w:p>
              </w:tc>
            </w:tr>
            <w:tr>
              <w:tc>
                <w:tcPr>
                  <w:tcW w:type="dxa" w:w="207"/>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488"/>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雾化喷嘴</w:t>
                  </w: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通过量(流量)</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0.02</w:t>
                  </w:r>
                  <w:r>
                    <w:rPr>
                      <w:rFonts w:ascii="仿宋_GB2312" w:hAnsi="仿宋_GB2312" w:cs="仿宋_GB2312" w:eastAsia="仿宋_GB2312"/>
                      <w:sz w:val="19"/>
                    </w:rPr>
                    <w:t>6L/min</w:t>
                  </w:r>
                </w:p>
              </w:tc>
              <w:tc>
                <w:tcPr>
                  <w:tcW w:type="dxa" w:w="37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30个</w:t>
                  </w:r>
                </w:p>
              </w:tc>
            </w:tr>
            <w:tr>
              <w:tc>
                <w:tcPr>
                  <w:tcW w:type="dxa" w:w="207"/>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通径</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0.1</w:t>
                  </w:r>
                  <w:r>
                    <w:rPr>
                      <w:rFonts w:ascii="仿宋_GB2312" w:hAnsi="仿宋_GB2312" w:cs="仿宋_GB2312" w:eastAsia="仿宋_GB2312"/>
                      <w:sz w:val="19"/>
                    </w:rPr>
                    <w:t>3</w:t>
                  </w:r>
                  <w:r>
                    <w:rPr>
                      <w:rFonts w:ascii="仿宋_GB2312" w:hAnsi="仿宋_GB2312" w:cs="仿宋_GB2312" w:eastAsia="仿宋_GB2312"/>
                      <w:sz w:val="19"/>
                    </w:rPr>
                    <w:t>mm</w:t>
                  </w:r>
                </w:p>
              </w:tc>
              <w:tc>
                <w:tcPr>
                  <w:tcW w:type="dxa" w:w="372"/>
                  <w:vMerge/>
                  <w:tcBorders>
                    <w:top w:val="singl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雾化粒径</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≤0.04mm</w:t>
                  </w:r>
                </w:p>
              </w:tc>
              <w:tc>
                <w:tcPr>
                  <w:tcW w:type="dxa" w:w="372"/>
                  <w:vMerge/>
                  <w:tcBorders>
                    <w:top w:val="singl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雾化半径</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≥1500mm</w:t>
                  </w:r>
                </w:p>
              </w:tc>
              <w:tc>
                <w:tcPr>
                  <w:tcW w:type="dxa" w:w="372"/>
                  <w:vMerge/>
                  <w:tcBorders>
                    <w:top w:val="singl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喷淋方式</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高压泵</w:t>
                  </w:r>
                </w:p>
              </w:tc>
              <w:tc>
                <w:tcPr>
                  <w:tcW w:type="dxa" w:w="372"/>
                  <w:vMerge/>
                  <w:tcBorders>
                    <w:top w:val="single" w:color="000000" w:sz="4"/>
                    <w:left w:val="singl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w:t>
                  </w:r>
                </w:p>
              </w:tc>
              <w:tc>
                <w:tcPr>
                  <w:tcW w:type="dxa" w:w="488"/>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输送泵</w:t>
                  </w: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流量：L/min</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≥8</w:t>
                  </w:r>
                  <w:r>
                    <w:rPr>
                      <w:rFonts w:ascii="仿宋_GB2312" w:hAnsi="仿宋_GB2312" w:cs="仿宋_GB2312" w:eastAsia="仿宋_GB2312"/>
                      <w:sz w:val="19"/>
                    </w:rPr>
                    <w:t>L/min</w:t>
                  </w:r>
                </w:p>
              </w:tc>
              <w:tc>
                <w:tcPr>
                  <w:tcW w:type="dxa" w:w="3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套</w:t>
                  </w:r>
                </w:p>
              </w:tc>
            </w:tr>
            <w:tr>
              <w:tc>
                <w:tcPr>
                  <w:tcW w:type="dxa" w:w="207"/>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压力(bar)</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≥96</w:t>
                  </w:r>
                  <w:r>
                    <w:rPr>
                      <w:rFonts w:ascii="仿宋_GB2312" w:hAnsi="仿宋_GB2312" w:cs="仿宋_GB2312" w:eastAsia="仿宋_GB2312"/>
                      <w:sz w:val="19"/>
                    </w:rPr>
                    <w:t>bar</w:t>
                  </w:r>
                </w:p>
              </w:tc>
              <w:tc>
                <w:tcPr>
                  <w:tcW w:type="dxa" w:w="37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扬程</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≥9</w:t>
                  </w:r>
                  <w:r>
                    <w:rPr>
                      <w:rFonts w:ascii="仿宋_GB2312" w:hAnsi="仿宋_GB2312" w:cs="仿宋_GB2312" w:eastAsia="仿宋_GB2312"/>
                      <w:sz w:val="19"/>
                    </w:rPr>
                    <w:t>0</w:t>
                  </w:r>
                  <w:r>
                    <w:rPr>
                      <w:rFonts w:ascii="仿宋_GB2312" w:hAnsi="仿宋_GB2312" w:cs="仿宋_GB2312" w:eastAsia="仿宋_GB2312"/>
                      <w:sz w:val="19"/>
                    </w:rPr>
                    <w:t>m</w:t>
                  </w:r>
                </w:p>
              </w:tc>
              <w:tc>
                <w:tcPr>
                  <w:tcW w:type="dxa" w:w="37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功率（kw）</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6KW</w:t>
                  </w:r>
                </w:p>
              </w:tc>
              <w:tc>
                <w:tcPr>
                  <w:tcW w:type="dxa" w:w="372"/>
                  <w:vMerge/>
                  <w:tcBorders>
                    <w:top w:val="none" w:color="000000" w:sz="4"/>
                    <w:left w:val="singl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3</w:t>
                  </w:r>
                </w:p>
              </w:tc>
              <w:tc>
                <w:tcPr>
                  <w:tcW w:type="dxa" w:w="4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控制系统</w:t>
                  </w: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程序控制器</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PLC（</w:t>
                  </w:r>
                  <w:r>
                    <w:rPr>
                      <w:rFonts w:ascii="仿宋_GB2312" w:hAnsi="仿宋_GB2312" w:cs="仿宋_GB2312" w:eastAsia="仿宋_GB2312"/>
                      <w:sz w:val="19"/>
                    </w:rPr>
                    <w:t>≥</w:t>
                  </w:r>
                  <w:r>
                    <w:rPr>
                      <w:rFonts w:ascii="仿宋_GB2312" w:hAnsi="仿宋_GB2312" w:cs="仿宋_GB2312" w:eastAsia="仿宋_GB2312"/>
                      <w:sz w:val="19"/>
                    </w:rPr>
                    <w:t>5.7"液晶屏）</w:t>
                  </w:r>
                </w:p>
              </w:tc>
              <w:tc>
                <w:tcPr>
                  <w:tcW w:type="dxa" w:w="3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套</w:t>
                  </w:r>
                </w:p>
              </w:tc>
            </w:tr>
            <w:tr>
              <w:tc>
                <w:tcPr>
                  <w:tcW w:type="dxa" w:w="207"/>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4</w:t>
                  </w:r>
                </w:p>
              </w:tc>
              <w:tc>
                <w:tcPr>
                  <w:tcW w:type="dxa" w:w="488"/>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喷淋管道</w:t>
                  </w: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规格</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Φ9mm</w:t>
                  </w:r>
                </w:p>
              </w:tc>
              <w:tc>
                <w:tcPr>
                  <w:tcW w:type="dxa" w:w="3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1套</w:t>
                  </w:r>
                </w:p>
              </w:tc>
            </w:tr>
            <w:tr>
              <w:tc>
                <w:tcPr>
                  <w:tcW w:type="dxa" w:w="207"/>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材质</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高压PE管</w:t>
                  </w:r>
                </w:p>
              </w:tc>
              <w:tc>
                <w:tcPr>
                  <w:tcW w:type="dxa" w:w="372"/>
                  <w:vMerge/>
                  <w:tcBorders>
                    <w:top w:val="none" w:color="000000" w:sz="4"/>
                    <w:left w:val="singl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5</w:t>
                  </w:r>
                </w:p>
              </w:tc>
              <w:tc>
                <w:tcPr>
                  <w:tcW w:type="dxa" w:w="488"/>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配药系统</w:t>
                  </w: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药箱规格</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30L</w:t>
                  </w:r>
                </w:p>
              </w:tc>
              <w:tc>
                <w:tcPr>
                  <w:tcW w:type="dxa" w:w="3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套</w:t>
                  </w:r>
                </w:p>
              </w:tc>
            </w:tr>
            <w:tr>
              <w:tc>
                <w:tcPr>
                  <w:tcW w:type="dxa" w:w="207"/>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5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药箱材质</w:t>
                  </w:r>
                </w:p>
              </w:tc>
              <w:tc>
                <w:tcPr>
                  <w:tcW w:type="dxa" w:w="9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PP</w:t>
                  </w:r>
                </w:p>
              </w:tc>
              <w:tc>
                <w:tcPr>
                  <w:tcW w:type="dxa" w:w="372"/>
                  <w:vMerge/>
                  <w:tcBorders>
                    <w:top w:val="none" w:color="000000" w:sz="4"/>
                    <w:left w:val="single" w:color="000000" w:sz="4"/>
                    <w:bottom w:val="single" w:color="000000" w:sz="4"/>
                    <w:right w:val="single" w:color="000000" w:sz="4"/>
                  </w:tcBorders>
                </w:tcPr>
                <w:p/>
              </w:tc>
            </w:tr>
          </w:tbl>
          <w:p>
            <w:pPr>
              <w:pStyle w:val="null3"/>
              <w:spacing w:before="120"/>
              <w:jc w:val="both"/>
            </w:pPr>
            <w:r>
              <w:rPr>
                <w:rFonts w:ascii="仿宋_GB2312" w:hAnsi="仿宋_GB2312" w:cs="仿宋_GB2312" w:eastAsia="仿宋_GB2312"/>
                <w:b/>
              </w:rPr>
              <w:t>7、投料口喷淋降尘系统（1套）</w:t>
            </w:r>
          </w:p>
          <w:tbl>
            <w:tblPr>
              <w:tblBorders>
                <w:top w:val="none" w:color="000000" w:sz="4"/>
                <w:left w:val="none" w:color="000000" w:sz="4"/>
                <w:bottom w:val="none" w:color="000000" w:sz="4"/>
                <w:right w:val="none" w:color="000000" w:sz="4"/>
                <w:insideH w:val="none"/>
                <w:insideV w:val="none"/>
              </w:tblBorders>
            </w:tblPr>
            <w:tblGrid>
              <w:gridCol w:w="219"/>
              <w:gridCol w:w="320"/>
              <w:gridCol w:w="488"/>
              <w:gridCol w:w="1063"/>
              <w:gridCol w:w="462"/>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w:t>
                  </w:r>
                </w:p>
              </w:tc>
              <w:tc>
                <w:tcPr>
                  <w:tcW w:type="dxa" w:w="155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主机</w:t>
                  </w:r>
                </w:p>
              </w:tc>
              <w:tc>
                <w:tcPr>
                  <w:tcW w:type="dxa" w:w="48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触摸屏</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7寸</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输送泵</w:t>
                  </w:r>
                </w:p>
              </w:tc>
              <w:tc>
                <w:tcPr>
                  <w:tcW w:type="dxa" w:w="48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功率</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≤0.8KW</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输送管道</w:t>
                  </w:r>
                </w:p>
              </w:tc>
              <w:tc>
                <w:tcPr>
                  <w:tcW w:type="dxa" w:w="48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直径</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≥φ9mm</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9"/>
                  <w:vMerge/>
                  <w:tcBorders>
                    <w:top w:val="none" w:color="000000" w:sz="4"/>
                    <w:left w:val="single" w:color="000000" w:sz="4"/>
                    <w:bottom w:val="single" w:color="000000" w:sz="4"/>
                    <w:right w:val="single" w:color="000000" w:sz="4"/>
                  </w:tcBorders>
                </w:tcPr>
                <w:p/>
              </w:tc>
              <w:tc>
                <w:tcPr>
                  <w:tcW w:type="dxa" w:w="320"/>
                  <w:vMerge/>
                  <w:tcBorders>
                    <w:top w:val="none" w:color="000000" w:sz="4"/>
                    <w:left w:val="none" w:color="000000" w:sz="4"/>
                    <w:bottom w:val="single" w:color="000000" w:sz="4"/>
                    <w:right w:val="single" w:color="000000" w:sz="4"/>
                  </w:tcBorders>
                </w:tcPr>
                <w:p/>
              </w:tc>
              <w:tc>
                <w:tcPr>
                  <w:tcW w:type="dxa" w:w="48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材质</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高压PE管</w:t>
                  </w:r>
                </w:p>
              </w:tc>
              <w:tc>
                <w:tcPr>
                  <w:tcW w:type="dxa" w:w="462"/>
                  <w:vMerge/>
                  <w:tcBorders>
                    <w:top w:val="none" w:color="000000" w:sz="4"/>
                    <w:left w:val="none" w:color="000000" w:sz="4"/>
                    <w:bottom w:val="single" w:color="000000" w:sz="4"/>
                    <w:right w:val="single" w:color="000000" w:sz="4"/>
                  </w:tcBorders>
                </w:tcP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水雾炮</w:t>
                  </w:r>
                </w:p>
              </w:tc>
              <w:tc>
                <w:tcPr>
                  <w:tcW w:type="dxa" w:w="48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风机材质</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不锈钢</w:t>
                  </w:r>
                </w:p>
              </w:tc>
              <w:tc>
                <w:tcPr>
                  <w:tcW w:type="dxa" w:w="46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4套</w:t>
                  </w:r>
                </w:p>
              </w:tc>
            </w:tr>
            <w:tr>
              <w:tc>
                <w:tcPr>
                  <w:tcW w:type="dxa" w:w="219"/>
                  <w:vMerge/>
                  <w:tcBorders>
                    <w:top w:val="none" w:color="000000" w:sz="4"/>
                    <w:left w:val="single" w:color="000000" w:sz="4"/>
                    <w:bottom w:val="single" w:color="000000" w:sz="4"/>
                    <w:right w:val="single" w:color="000000" w:sz="4"/>
                  </w:tcBorders>
                </w:tcPr>
                <w:p/>
              </w:tc>
              <w:tc>
                <w:tcPr>
                  <w:tcW w:type="dxa" w:w="320"/>
                  <w:vMerge/>
                  <w:tcBorders>
                    <w:top w:val="none" w:color="000000" w:sz="4"/>
                    <w:left w:val="none" w:color="000000" w:sz="4"/>
                    <w:bottom w:val="single" w:color="000000" w:sz="4"/>
                    <w:right w:val="single" w:color="000000" w:sz="4"/>
                  </w:tcBorders>
                </w:tcP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喷嘴材质</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不锈钢</w:t>
                  </w:r>
                </w:p>
              </w:tc>
              <w:tc>
                <w:tcPr>
                  <w:tcW w:type="dxa" w:w="462"/>
                  <w:vMerge/>
                  <w:tcBorders>
                    <w:top w:val="none" w:color="000000" w:sz="4"/>
                    <w:left w:val="none" w:color="000000" w:sz="4"/>
                    <w:bottom w:val="none" w:color="000000" w:sz="4"/>
                    <w:right w:val="single" w:color="000000" w:sz="4"/>
                  </w:tcBorders>
                </w:tcPr>
                <w:p/>
              </w:tc>
            </w:tr>
            <w:tr>
              <w:tc>
                <w:tcPr>
                  <w:tcW w:type="dxa" w:w="219"/>
                  <w:vMerge/>
                  <w:tcBorders>
                    <w:top w:val="none" w:color="000000" w:sz="4"/>
                    <w:left w:val="single" w:color="000000" w:sz="4"/>
                    <w:bottom w:val="single" w:color="000000" w:sz="4"/>
                    <w:right w:val="single" w:color="000000" w:sz="4"/>
                  </w:tcBorders>
                </w:tcPr>
                <w:p/>
              </w:tc>
              <w:tc>
                <w:tcPr>
                  <w:tcW w:type="dxa" w:w="320"/>
                  <w:vMerge/>
                  <w:tcBorders>
                    <w:top w:val="none" w:color="000000" w:sz="4"/>
                    <w:left w:val="none" w:color="000000" w:sz="4"/>
                    <w:bottom w:val="single" w:color="000000" w:sz="4"/>
                    <w:right w:val="single" w:color="000000" w:sz="4"/>
                  </w:tcBorders>
                </w:tcPr>
                <w:p/>
              </w:tc>
              <w:tc>
                <w:tcPr>
                  <w:tcW w:type="dxa" w:w="48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喷嘴数量</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62"/>
                  <w:vMerge/>
                  <w:tcBorders>
                    <w:top w:val="none" w:color="000000" w:sz="4"/>
                    <w:left w:val="none" w:color="000000" w:sz="4"/>
                    <w:bottom w:val="none" w:color="000000" w:sz="4"/>
                    <w:right w:val="single" w:color="000000" w:sz="4"/>
                  </w:tcBorders>
                </w:tcPr>
                <w:p/>
              </w:tc>
            </w:tr>
            <w:tr>
              <w:tc>
                <w:tcPr>
                  <w:tcW w:type="dxa" w:w="219"/>
                  <w:vMerge/>
                  <w:tcBorders>
                    <w:top w:val="none" w:color="000000" w:sz="4"/>
                    <w:left w:val="single" w:color="000000" w:sz="4"/>
                    <w:bottom w:val="single" w:color="000000" w:sz="4"/>
                    <w:right w:val="single" w:color="000000" w:sz="4"/>
                  </w:tcBorders>
                </w:tcPr>
                <w:p/>
              </w:tc>
              <w:tc>
                <w:tcPr>
                  <w:tcW w:type="dxa" w:w="320"/>
                  <w:vMerge/>
                  <w:tcBorders>
                    <w:top w:val="none" w:color="000000" w:sz="4"/>
                    <w:left w:val="none" w:color="000000" w:sz="4"/>
                    <w:bottom w:val="single" w:color="000000" w:sz="4"/>
                    <w:right w:val="single" w:color="000000" w:sz="4"/>
                  </w:tcBorders>
                </w:tcP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功率</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60W</w:t>
                  </w:r>
                </w:p>
              </w:tc>
              <w:tc>
                <w:tcPr>
                  <w:tcW w:type="dxa" w:w="462"/>
                  <w:vMerge/>
                  <w:tcBorders>
                    <w:top w:val="none" w:color="000000" w:sz="4"/>
                    <w:left w:val="none" w:color="000000" w:sz="4"/>
                    <w:bottom w:val="none" w:color="000000" w:sz="4"/>
                    <w:right w:val="single" w:color="000000" w:sz="4"/>
                  </w:tcBorders>
                </w:tcP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自动配药系统</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混液箱规格（L）</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≥30L</w:t>
                  </w:r>
                </w:p>
              </w:tc>
              <w:tc>
                <w:tcPr>
                  <w:tcW w:type="dxa" w:w="4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9"/>
                  <w:vMerge/>
                  <w:tcBorders>
                    <w:top w:val="none" w:color="000000" w:sz="4"/>
                    <w:left w:val="single" w:color="000000" w:sz="4"/>
                    <w:bottom w:val="single" w:color="000000" w:sz="4"/>
                    <w:right w:val="single" w:color="000000" w:sz="4"/>
                  </w:tcBorders>
                </w:tcPr>
                <w:p/>
              </w:tc>
              <w:tc>
                <w:tcPr>
                  <w:tcW w:type="dxa" w:w="320"/>
                  <w:vMerge/>
                  <w:tcBorders>
                    <w:top w:val="none" w:color="000000" w:sz="4"/>
                    <w:left w:val="none" w:color="000000" w:sz="4"/>
                    <w:bottom w:val="single" w:color="000000" w:sz="4"/>
                    <w:right w:val="single" w:color="000000" w:sz="4"/>
                  </w:tcBorders>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混液箱材质</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PP</w:t>
                  </w:r>
                </w:p>
              </w:tc>
              <w:tc>
                <w:tcPr>
                  <w:tcW w:type="dxa" w:w="462"/>
                  <w:vMerge/>
                  <w:tcBorders>
                    <w:top w:val="singl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rPr>
              <w:t>三、商务要求</w:t>
            </w:r>
          </w:p>
          <w:p>
            <w:pPr>
              <w:pStyle w:val="null3"/>
              <w:ind w:firstLine="480"/>
              <w:jc w:val="both"/>
            </w:pPr>
            <w:r>
              <w:rPr>
                <w:rFonts w:ascii="仿宋_GB2312" w:hAnsi="仿宋_GB2312" w:cs="仿宋_GB2312" w:eastAsia="仿宋_GB2312"/>
              </w:rPr>
              <w:t>1.交货期：自合同签订之日起30日历天</w:t>
            </w:r>
          </w:p>
          <w:p>
            <w:pPr>
              <w:pStyle w:val="null3"/>
              <w:ind w:firstLine="480"/>
              <w:jc w:val="both"/>
            </w:pPr>
            <w:r>
              <w:rPr>
                <w:rFonts w:ascii="仿宋_GB2312" w:hAnsi="仿宋_GB2312" w:cs="仿宋_GB2312" w:eastAsia="仿宋_GB2312"/>
              </w:rPr>
              <w:t>2.交货地点：采购人指定地点</w:t>
            </w:r>
          </w:p>
          <w:p>
            <w:pPr>
              <w:pStyle w:val="null3"/>
              <w:ind w:firstLine="480"/>
              <w:jc w:val="both"/>
            </w:pPr>
            <w:r>
              <w:rPr>
                <w:rFonts w:ascii="仿宋_GB2312" w:hAnsi="仿宋_GB2312" w:cs="仿宋_GB2312" w:eastAsia="仿宋_GB2312"/>
              </w:rPr>
              <w:t>3.安装、调试：供应商负责设备的安装调试工作，确保设备正常运行并达到约定验收标准；需提交完整的安装调试方案及技术指导文件，全程配合采购人完成验收。因供应商原因在安装过程中造成原零配件损坏的，由供应商无偿更换并承担全部相关费用。供应商对安装调试、整改等实施全过程的安全负全责，若发生人身伤亡、财产损失等情形，所有善后事宜及全部法律、经济责任均由供应商承担。</w:t>
            </w:r>
          </w:p>
          <w:p>
            <w:pPr>
              <w:pStyle w:val="null3"/>
              <w:ind w:firstLine="480"/>
              <w:jc w:val="both"/>
            </w:pPr>
            <w:r>
              <w:rPr>
                <w:rFonts w:ascii="仿宋_GB2312" w:hAnsi="仿宋_GB2312" w:cs="仿宋_GB2312" w:eastAsia="仿宋_GB2312"/>
              </w:rPr>
              <w:t>4.质量标准：质量符合国家法律法规规定的合格标准、采购文件、响应文件的要求；</w:t>
            </w:r>
          </w:p>
          <w:p>
            <w:pPr>
              <w:pStyle w:val="null3"/>
              <w:ind w:firstLine="480"/>
              <w:jc w:val="both"/>
            </w:pPr>
            <w:r>
              <w:rPr>
                <w:rFonts w:ascii="仿宋_GB2312" w:hAnsi="仿宋_GB2312" w:cs="仿宋_GB2312" w:eastAsia="仿宋_GB2312"/>
              </w:rPr>
              <w:t>5.付款方式：</w:t>
            </w:r>
          </w:p>
          <w:p>
            <w:pPr>
              <w:pStyle w:val="null3"/>
              <w:ind w:firstLine="480"/>
              <w:jc w:val="both"/>
            </w:pPr>
            <w:r>
              <w:rPr>
                <w:rFonts w:ascii="仿宋_GB2312" w:hAnsi="仿宋_GB2312" w:cs="仿宋_GB2312" w:eastAsia="仿宋_GB2312"/>
              </w:rPr>
              <w:t>（1）第一次付款为合同签订后，乙方货物到达甲方指定地点，达到付款条件30日内，支付合同总金额的30%；</w:t>
            </w:r>
          </w:p>
          <w:p>
            <w:pPr>
              <w:pStyle w:val="null3"/>
              <w:ind w:firstLine="480"/>
              <w:jc w:val="both"/>
            </w:pPr>
            <w:r>
              <w:rPr>
                <w:rFonts w:ascii="仿宋_GB2312" w:hAnsi="仿宋_GB2312" w:cs="仿宋_GB2312" w:eastAsia="仿宋_GB2312"/>
              </w:rPr>
              <w:t>（2）第二次付款为乙方完成货物安装调试，并经甲方验收合格，达到付款条件30日内，支付合同总金额的65%；</w:t>
            </w:r>
          </w:p>
          <w:p>
            <w:pPr>
              <w:pStyle w:val="null3"/>
            </w:pPr>
            <w:r>
              <w:rPr>
                <w:rFonts w:ascii="仿宋_GB2312" w:hAnsi="仿宋_GB2312" w:cs="仿宋_GB2312" w:eastAsia="仿宋_GB2312"/>
              </w:rPr>
              <w:t xml:space="preserve">   （3）第三次付款为甲方验收合格1年后，达到付款条件30日内，支付合同总金额的5%。</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第一次付款为合同签订后，乙方货物到达甲方指定地点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第二次付款为乙方完成货物安装调试，并经甲方验收合格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第三次付款为甲方验收合格1年后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自交付验收合格使用一年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王经理，029-88825655。 3.5.2本项目专门面向中小企业，供应商应为中型、小型、微型企业或监狱企业或残疾人福利性单位。项目所属行业：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3.5.3落实政府采购政策： 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 关于推动解决政府采购异常低价问题的通知》财库〔2026〕2号 ③《财政部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号）、陕西省财政厅关于印发《陕西省中小企业政府采购信用融资办法》（陕财办采〔2018〕23 号）、《陕西省财政厅、中国人民银行西安分行关于深入推进政府采购信用融资业务的通知》陕财办采〔2023〕5号。 ⑥国务院办公厅《关于建立政府强制采购节能产品制度的通知》（国办发〔2007〕51号） 《财政部 发展改革委 生态环境部 国家监管总局关于调整优化节能产品、环境标志产品政府采购执行机制的通知》（财库〔2019〕9号）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 （2）提供供应商在递交响应文件截止时间前6个月内任意一个月已缴纳的完税凭证或税务机关开具的完税证明（任意税种）（银行出具的缴税凭证或税务机关出具的证明的复印件，并加盖本单位公章）。依法免税或无须缴纳税收的供应商，应提供相应文件证明其依法免税； （3）提供供应商在递交响应文件截止时间前6个月内任意一个月已缴纳的社会保障资金缴存单据或社保机构开具的社会保险参保缴费情况证明，并加盖本单位公章。不需要缴纳社会保障资金的供应商，应提供相应文件证明其不需要缴纳社会保障资金； （4）具备履行合同所必需的设备和专业技术能力的承诺； （5）供应商参加政府采购活动前3年内在经营活动中没有重大违法记录的书面声明。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提供经审计的2024年度的财务报告或提交响应文件截止时间前三个月内其基本账户开户银行出具的资信证明（附开户许可证或开户备案证明）。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首次磋商报价表及分项报价表.docx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业绩一览表.docx 中小企业声明函 商务应答表 报价表 项目实施方案.docx 资格证明资料.docx 响应文件封面 政府采购供应商拒绝政府采购领域商业贿赂承诺书.docx 产品技术参数表 残疾人福利性单位声明函 首次磋商报价表及分项报价表.docx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首次磋商报价表及分项报价表.docx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响应内容不存在漏项或数量与要求不符合采购文件规定情形，响应内容满足采购文件的实质性要求，不存在采购档次降低或影响采购性能、功能的情形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技术参数、配置和功能需求</w:t>
            </w:r>
          </w:p>
        </w:tc>
        <w:tc>
          <w:tcPr>
            <w:tcW w:type="dxa" w:w="2492"/>
          </w:tcPr>
          <w:p>
            <w:pPr>
              <w:pStyle w:val="null3"/>
            </w:pPr>
            <w:r>
              <w:rPr>
                <w:rFonts w:ascii="仿宋_GB2312" w:hAnsi="仿宋_GB2312" w:cs="仿宋_GB2312" w:eastAsia="仿宋_GB2312"/>
              </w:rPr>
              <w:t>根据供应商提供的所投产品的技术参数、配置和功能需求：完全满足磋商文件要求的得15分， 每有一项技术参数负偏离、有缺漏的扣1分，扣完为止。 未提供不得分。 注：“★”参数偏离按无效文件处理。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产品相关资料</w:t>
            </w:r>
          </w:p>
        </w:tc>
        <w:tc>
          <w:tcPr>
            <w:tcW w:type="dxa" w:w="2492"/>
          </w:tcPr>
          <w:p>
            <w:pPr>
              <w:pStyle w:val="null3"/>
            </w:pPr>
            <w:r>
              <w:rPr>
                <w:rFonts w:ascii="仿宋_GB2312" w:hAnsi="仿宋_GB2312" w:cs="仿宋_GB2312" w:eastAsia="仿宋_GB2312"/>
              </w:rPr>
              <w:t>产品附有详细的产品相关资料内容包括但不限于认证证书或产品宣传彩页或检测报告或官网功能截图等： 所投产品规格指标、功能较好，技术资料齐全计得6分； 所投产品规格指标、功能内容简单，技术资料相对齐全计得2分；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依据供应商提供的针对本项目的项目实施方案，内容包括但不限于： ①项目实施进度计划（3分）：内容完整、可实施、且有针对性得3分；内容完整、可实施得2分；内容基本完整得1分；未提供不得分； ②项目人员配备，分工明确，且为本项目提供专业的技术支持人员（3分）：内容完整、可实施、且有针对性得3分；内容完整、可实施得2分；内容基本完整得1分；未提供不得分； ③保证措施（3分）：内容完整、可实施、且有针对性得3分；内容完整、可实施得2分；内容基本完整得1分；未提供不得分；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依据供应商提供的针对本项目的安装、调试方案： ①安装关键工序、系统调试（5分）：内容完整、可实施、且有针对性得5分；内容完整、可实施得3分；内容基本完整得1分；未提供不得分； ②安全安装管理措施（5分）：内容完整、可实施、且有针对性得5分；内容完整、可实施得3分；内容基本完整得1分；未提供不得分；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垃圾压缩箱体改造方案</w:t>
            </w:r>
          </w:p>
        </w:tc>
        <w:tc>
          <w:tcPr>
            <w:tcW w:type="dxa" w:w="2492"/>
          </w:tcPr>
          <w:p>
            <w:pPr>
              <w:pStyle w:val="null3"/>
            </w:pPr>
            <w:r>
              <w:rPr>
                <w:rFonts w:ascii="仿宋_GB2312" w:hAnsi="仿宋_GB2312" w:cs="仿宋_GB2312" w:eastAsia="仿宋_GB2312"/>
              </w:rPr>
              <w:t>依据供应商提供的针对本项目的垃圾压缩箱体改造方案：内容完整、可实施、且有针对性得5分；内容完整、可实施得3分；内容基本完整得1分；未提供不得分；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依据供应商提供的针对本项目的售后服务方案，内容包括但不限于： ①质保期限及服务承诺（3分）：内容完整、可实施、且有针对性得3分；内容完整、可实施得2分；内容基本完整得1分；未提供不得分； ②售后服务内容（3分）：内容完整、可实施、且有针对性得3分；内容完整、可实施得2分；内容基本完整得1分；未提供不得分； ③响应方式、响应时间（3分）：内容完整、可实施、且有针对性得3分；内容完整、可实施得2分；内容基本完整得1分；未提供不得分；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依据供应商提供的针对本项目的培训方案包括但不限于： ①培训计划（3分）：内容完整、可实施、且有针对性得3分；内容完整、可实施得2分；内容基本完整得1分；未提供不得分； ②所投产品常见故障排除讲解（3分）：内容完整、可实施、且有针对性得3分；内容完整、可实施得2分；内容基本完整得1分；未提供不得分；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提供2023年1月1日以来(以合同签订时间为准）类似项目业绩合同，每份5分，最高得10分。（注：附业绩合同复印件或扫描件。）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 注：1.磋商基准价即实质性响应竞争性磋商文件要求的供应商的最低磋商报价。大于最高限价的磋商报价在评审过程中报价按无效磋商处理。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详见附件：首次磋商报价表及分项报价表.docx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详见附件：合同--垃圾压缩设备采购及安装.docx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