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版本号：LZBD2026-051（CGZC2026-008）20260310001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总部产业园2026年春节拆迁慰问品采购项目（三次）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LZBD2026-051（CGZC2026-008）</w:t>
      </w:r>
      <w:r>
        <w:br/>
      </w:r>
      <w:r>
        <w:br/>
      </w:r>
      <w:r>
        <w:br/>
      </w:r>
    </w:p>
    <w:p>
      <w:pPr>
        <w:pStyle w:val="null3"/>
        <w:jc w:val="center"/>
        <w:outlineLvl w:val="2"/>
      </w:pPr>
      <w:r>
        <w:rPr>
          <w:rFonts w:ascii="仿宋_GB2312" w:hAnsi="仿宋_GB2312" w:cs="仿宋_GB2312" w:eastAsia="仿宋_GB2312"/>
          <w:sz w:val="28"/>
          <w:b/>
        </w:rPr>
        <w:t>西安浐灞国际港总部创意产业园</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西安浐灞国际港总部创意产业园</w:t>
      </w:r>
      <w:r>
        <w:rPr>
          <w:rFonts w:ascii="仿宋_GB2312" w:hAnsi="仿宋_GB2312" w:cs="仿宋_GB2312" w:eastAsia="仿宋_GB2312"/>
        </w:rPr>
        <w:t>委托，拟对</w:t>
      </w:r>
      <w:r>
        <w:rPr>
          <w:rFonts w:ascii="仿宋_GB2312" w:hAnsi="仿宋_GB2312" w:cs="仿宋_GB2312" w:eastAsia="仿宋_GB2312"/>
        </w:rPr>
        <w:t>总部产业园2026年春节拆迁慰问品采购项目（三次）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LZBD2026-051（CGZC2026-008）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总部产业园2026年春节拆迁慰问品采购项目（三次）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本项目拟对总部产业园2026年春节拆迁慰问品采购项目一批进行采购，具体详见采购文件。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供应商为产品生产厂家的，须提供《食品生产许可证》及《食品经营许可证》：供应商为产品生产厂家的，须提供《食品生产许可证》及《食品经营许可证》，供应商需在项目电子化交易系统中按要求上传相应证明文件并进行电子签章。</w:t>
      </w:r>
    </w:p>
    <w:p>
      <w:pPr>
        <w:pStyle w:val="null3"/>
      </w:pPr>
      <w:r>
        <w:rPr>
          <w:rFonts w:ascii="仿宋_GB2312" w:hAnsi="仿宋_GB2312" w:cs="仿宋_GB2312" w:eastAsia="仿宋_GB2312"/>
        </w:rPr>
        <w:t>3、供应商为产品代理商的，须提供《食品经营许可证》：供应商为产品代理商的，须提供《食品经营许可证》，供应商需在项目电子化交易系统中按要求上传相应证明文件并进行电子签章。</w:t>
      </w:r>
    </w:p>
    <w:p>
      <w:pPr>
        <w:pStyle w:val="null3"/>
      </w:pPr>
      <w:r>
        <w:rPr>
          <w:rFonts w:ascii="仿宋_GB2312" w:hAnsi="仿宋_GB2312" w:cs="仿宋_GB2312" w:eastAsia="仿宋_GB2312"/>
        </w:rPr>
        <w:t>4、供应商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西安浐灞国际港总部创意产业园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西安浐灞国际港总部创意产业园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王晓军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029-86624712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李敏、徐小宁、刘强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代理服务费收费标准：1、招标代理服务费参照国家计委颁布的《招标代理服务收费管理暂行办法》（计价格[2002]1980号）和（发改办价格[2003]857号）、发改价格[2011]534号中货物类的收费标准计取。 2、成交单位在领取成交通知书之前，须向采购代理机构支付招标代理服务费。 3、招标代理服务费以转账或现金形式缴纳至以下账户：开户名称：龙寰项目管理咨询有限公司 开户银行：平安银行西安高新路支行 账 号：30201278018180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西安浐灞国际港总部创意产业园</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西安浐灞国际港总部创意产业园</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联系人：李敏 徐小宁</w:t>
      </w:r>
    </w:p>
    <w:p>
      <w:pPr>
        <w:pStyle w:val="null3"/>
      </w:pPr>
      <w:r>
        <w:rPr>
          <w:rFonts w:ascii="仿宋_GB2312" w:hAnsi="仿宋_GB2312" w:cs="仿宋_GB2312" w:eastAsia="仿宋_GB2312"/>
        </w:rPr>
        <w:t>联系电话：029-88228899-647、640</w:t>
      </w:r>
    </w:p>
    <w:p>
      <w:pPr>
        <w:pStyle w:val="null3"/>
      </w:pPr>
      <w:r>
        <w:rPr>
          <w:rFonts w:ascii="仿宋_GB2312" w:hAnsi="仿宋_GB2312" w:cs="仿宋_GB2312" w:eastAsia="仿宋_GB2312"/>
        </w:rPr>
        <w:t>地址：西安市高新区太白南路181号A座A区501室招标四部</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本项目拟对总部产业园2026年春节拆迁慰问品采购项目一批进行采购，具体详见采购文件。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585,000.00</w:t>
      </w:r>
    </w:p>
    <w:p>
      <w:pPr>
        <w:pStyle w:val="null3"/>
      </w:pPr>
      <w:r>
        <w:rPr>
          <w:rFonts w:ascii="仿宋_GB2312" w:hAnsi="仿宋_GB2312" w:cs="仿宋_GB2312" w:eastAsia="仿宋_GB2312"/>
        </w:rPr>
        <w:t>采购包最高限价（元）: 585,000.00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总部产业园2026年春节拆迁慰问品采购项目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标的名称：总部产业园2026年春节拆迁慰问品采购项目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（一）货物名称</w:t>
            </w:r>
            <w:r>
              <w:rPr>
                <w:rFonts w:ascii="仿宋_GB2312" w:hAnsi="仿宋_GB2312" w:cs="仿宋_GB2312" w:eastAsia="仿宋_GB2312"/>
                <w:sz w:val="20"/>
                <w:b/>
              </w:rPr>
              <w:t>及数量</w:t>
            </w:r>
            <w:r>
              <w:rPr>
                <w:rFonts w:ascii="仿宋_GB2312" w:hAnsi="仿宋_GB2312" w:cs="仿宋_GB2312" w:eastAsia="仿宋_GB2312"/>
                <w:sz w:val="20"/>
                <w:b/>
              </w:rPr>
              <w:t>：</w:t>
            </w:r>
            <w:r>
              <w:rPr>
                <w:rFonts w:ascii="仿宋_GB2312" w:hAnsi="仿宋_GB2312" w:cs="仿宋_GB2312" w:eastAsia="仿宋_GB2312"/>
                <w:sz w:val="20"/>
                <w:b/>
              </w:rPr>
              <w:t>大米</w:t>
            </w:r>
            <w:r>
              <w:rPr>
                <w:rFonts w:ascii="仿宋_GB2312" w:hAnsi="仿宋_GB2312" w:cs="仿宋_GB2312" w:eastAsia="仿宋_GB2312"/>
                <w:sz w:val="20"/>
                <w:b/>
              </w:rPr>
              <w:t>1950袋</w:t>
            </w:r>
          </w:p>
          <w:p>
            <w:pPr>
              <w:pStyle w:val="null3"/>
              <w:jc w:val="both"/>
            </w:pPr>
            <w:r>
              <w:rPr>
                <w:rFonts w:ascii="仿宋_GB2312" w:hAnsi="仿宋_GB2312" w:cs="仿宋_GB2312" w:eastAsia="仿宋_GB2312"/>
                <w:sz w:val="20"/>
              </w:rPr>
              <w:t>1、规格及数量：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10kg/袋、</w:t>
            </w:r>
            <w:r>
              <w:rPr>
                <w:rFonts w:ascii="仿宋_GB2312" w:hAnsi="仿宋_GB2312" w:cs="仿宋_GB2312" w:eastAsia="仿宋_GB2312"/>
                <w:sz w:val="20"/>
              </w:rPr>
              <w:t>1950袋。</w:t>
            </w:r>
          </w:p>
          <w:p>
            <w:pPr>
              <w:pStyle w:val="null3"/>
              <w:jc w:val="both"/>
            </w:pPr>
            <w:r>
              <w:rPr>
                <w:rFonts w:ascii="仿宋_GB2312" w:hAnsi="仿宋_GB2312" w:cs="仿宋_GB2312" w:eastAsia="仿宋_GB2312"/>
                <w:sz w:val="20"/>
              </w:rPr>
              <w:t>2、质量标准：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1）大米执行标准：GB/T1354。</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2）质量要求：具有大米固有色泽与香味，无污染、虫害，色泽、气味、口味正常；无异味、霉味；无虫蛀、结块、挂丝或杂质等，符合国家粮食卫生标准。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3）包装要求：</w:t>
            </w:r>
            <w:r>
              <w:rPr>
                <w:rFonts w:ascii="仿宋_GB2312" w:hAnsi="仿宋_GB2312" w:cs="仿宋_GB2312" w:eastAsia="仿宋_GB2312"/>
                <w:sz w:val="20"/>
              </w:rPr>
              <w:t>10kg/袋</w:t>
            </w:r>
            <w:r>
              <w:rPr>
                <w:rFonts w:ascii="仿宋_GB2312" w:hAnsi="仿宋_GB2312" w:cs="仿宋_GB2312" w:eastAsia="仿宋_GB2312"/>
                <w:sz w:val="20"/>
              </w:rPr>
              <w:t>，</w:t>
            </w:r>
            <w:r>
              <w:rPr>
                <w:rFonts w:ascii="仿宋_GB2312" w:hAnsi="仿宋_GB2312" w:cs="仿宋_GB2312" w:eastAsia="仿宋_GB2312"/>
                <w:sz w:val="20"/>
              </w:rPr>
              <w:t>包装袋清洁无污渍、无破损、无渗漏，符合国家食品卫生标准的规定。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4）标识要求：有“SC”标志或生产许可证号，执行标准；标明产品名称、净含量、质量等级、生产企业名称、电话、地址、生产日期、保质期及营养成分表。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5）供货时剩余保质期不少于标注保质期三分之二。</w:t>
            </w:r>
          </w:p>
          <w:p>
            <w:pPr>
              <w:pStyle w:val="null3"/>
              <w:jc w:val="both"/>
            </w:pPr>
            <w:r>
              <w:rPr>
                <w:rFonts w:ascii="仿宋_GB2312" w:hAnsi="仿宋_GB2312" w:cs="仿宋_GB2312" w:eastAsia="仿宋_GB2312"/>
                <w:sz w:val="20"/>
                <w:b/>
              </w:rPr>
              <w:t>（二）货物名称</w:t>
            </w:r>
            <w:r>
              <w:rPr>
                <w:rFonts w:ascii="仿宋_GB2312" w:hAnsi="仿宋_GB2312" w:cs="仿宋_GB2312" w:eastAsia="仿宋_GB2312"/>
                <w:sz w:val="20"/>
                <w:b/>
              </w:rPr>
              <w:t>及数量</w:t>
            </w:r>
            <w:r>
              <w:rPr>
                <w:rFonts w:ascii="仿宋_GB2312" w:hAnsi="仿宋_GB2312" w:cs="仿宋_GB2312" w:eastAsia="仿宋_GB2312"/>
                <w:sz w:val="20"/>
                <w:b/>
              </w:rPr>
              <w:t>：</w:t>
            </w:r>
            <w:r>
              <w:rPr>
                <w:rFonts w:ascii="仿宋_GB2312" w:hAnsi="仿宋_GB2312" w:cs="仿宋_GB2312" w:eastAsia="仿宋_GB2312"/>
                <w:sz w:val="20"/>
                <w:b/>
              </w:rPr>
              <w:t>小麦粉</w:t>
            </w:r>
            <w:r>
              <w:rPr>
                <w:rFonts w:ascii="仿宋_GB2312" w:hAnsi="仿宋_GB2312" w:cs="仿宋_GB2312" w:eastAsia="仿宋_GB2312"/>
                <w:sz w:val="20"/>
                <w:b/>
              </w:rPr>
              <w:t>1950</w:t>
            </w:r>
            <w:r>
              <w:rPr>
                <w:rFonts w:ascii="仿宋_GB2312" w:hAnsi="仿宋_GB2312" w:cs="仿宋_GB2312" w:eastAsia="仿宋_GB2312"/>
                <w:sz w:val="20"/>
                <w:b/>
              </w:rPr>
              <w:t>袋</w:t>
            </w:r>
          </w:p>
          <w:p>
            <w:pPr>
              <w:pStyle w:val="null3"/>
              <w:jc w:val="both"/>
            </w:pPr>
            <w:r>
              <w:rPr>
                <w:rFonts w:ascii="仿宋_GB2312" w:hAnsi="仿宋_GB2312" w:cs="仿宋_GB2312" w:eastAsia="仿宋_GB2312"/>
                <w:sz w:val="20"/>
              </w:rPr>
              <w:t>1、规格</w:t>
            </w:r>
            <w:r>
              <w:rPr>
                <w:rFonts w:ascii="仿宋_GB2312" w:hAnsi="仿宋_GB2312" w:cs="仿宋_GB2312" w:eastAsia="仿宋_GB2312"/>
                <w:sz w:val="20"/>
              </w:rPr>
              <w:t>及数量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1）小麦粉</w:t>
            </w:r>
            <w:r>
              <w:rPr>
                <w:rFonts w:ascii="仿宋_GB2312" w:hAnsi="仿宋_GB2312" w:cs="仿宋_GB2312" w:eastAsia="仿宋_GB2312"/>
                <w:sz w:val="20"/>
              </w:rPr>
              <w:t>10kg/袋、</w:t>
            </w:r>
            <w:r>
              <w:rPr>
                <w:rFonts w:ascii="仿宋_GB2312" w:hAnsi="仿宋_GB2312" w:cs="仿宋_GB2312" w:eastAsia="仿宋_GB2312"/>
                <w:sz w:val="20"/>
              </w:rPr>
              <w:t>1950</w:t>
            </w:r>
            <w:r>
              <w:rPr>
                <w:rFonts w:ascii="仿宋_GB2312" w:hAnsi="仿宋_GB2312" w:cs="仿宋_GB2312" w:eastAsia="仿宋_GB2312"/>
                <w:sz w:val="20"/>
              </w:rPr>
              <w:t>袋</w:t>
            </w:r>
          </w:p>
          <w:p>
            <w:pPr>
              <w:pStyle w:val="null3"/>
              <w:jc w:val="both"/>
            </w:pPr>
            <w:r>
              <w:rPr>
                <w:rFonts w:ascii="仿宋_GB2312" w:hAnsi="仿宋_GB2312" w:cs="仿宋_GB2312" w:eastAsia="仿宋_GB2312"/>
                <w:sz w:val="20"/>
              </w:rPr>
              <w:t>2、质量标准：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1）小麦粉执行标准：LS/T3203、Q/XQM0007S、GB/T1355、雪花粉、特制粉、精制级均可。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质量要求：无污染、虫害，色泽、气味、口味正常；无异味、霉味；无虫蛀、结块、挂丝或杂质异物；色泽呈白色或微黄色；外观呈细粉末状，无杂质，手指捻捏时无粗粒感，放开后不成团；具有面粉正常气味，无异味。符合国家粮食卫生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3）包装要求：</w:t>
            </w:r>
            <w:r>
              <w:rPr>
                <w:rFonts w:ascii="仿宋_GB2312" w:hAnsi="仿宋_GB2312" w:cs="仿宋_GB2312" w:eastAsia="仿宋_GB2312"/>
                <w:sz w:val="20"/>
              </w:rPr>
              <w:t>10</w:t>
            </w:r>
            <w:r>
              <w:rPr>
                <w:rFonts w:ascii="仿宋_GB2312" w:hAnsi="仿宋_GB2312" w:cs="仿宋_GB2312" w:eastAsia="仿宋_GB2312"/>
                <w:sz w:val="20"/>
              </w:rPr>
              <w:t>kg/袋，包装袋清洁无污渍，无破损、无渗漏，符合国家食品卫生标准的规定。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4）标识要求：有“SC”标志或生产许可证号，执行标准；标明产品名称、净含量、质量等级、生产企业名称、电话、地址、生产日期、保质期及营养成分表。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5）供货时剩余保质期不少于标注保质期三分之二。</w:t>
            </w:r>
          </w:p>
          <w:p>
            <w:pPr>
              <w:pStyle w:val="null3"/>
              <w:jc w:val="both"/>
            </w:pPr>
            <w:r>
              <w:rPr>
                <w:rFonts w:ascii="仿宋_GB2312" w:hAnsi="仿宋_GB2312" w:cs="仿宋_GB2312" w:eastAsia="仿宋_GB2312"/>
                <w:sz w:val="20"/>
                <w:b/>
              </w:rPr>
              <w:t>（三）货物名称</w:t>
            </w:r>
            <w:r>
              <w:rPr>
                <w:rFonts w:ascii="仿宋_GB2312" w:hAnsi="仿宋_GB2312" w:cs="仿宋_GB2312" w:eastAsia="仿宋_GB2312"/>
                <w:sz w:val="20"/>
                <w:b/>
              </w:rPr>
              <w:t>及数量</w:t>
            </w:r>
            <w:r>
              <w:rPr>
                <w:rFonts w:ascii="仿宋_GB2312" w:hAnsi="仿宋_GB2312" w:cs="仿宋_GB2312" w:eastAsia="仿宋_GB2312"/>
                <w:sz w:val="20"/>
                <w:b/>
              </w:rPr>
              <w:t>：</w:t>
            </w:r>
            <w:r>
              <w:rPr>
                <w:rFonts w:ascii="仿宋_GB2312" w:hAnsi="仿宋_GB2312" w:cs="仿宋_GB2312" w:eastAsia="仿宋_GB2312"/>
                <w:sz w:val="20"/>
                <w:b/>
              </w:rPr>
              <w:t>非转基因</w:t>
            </w:r>
            <w:r>
              <w:rPr>
                <w:rFonts w:ascii="仿宋_GB2312" w:hAnsi="仿宋_GB2312" w:cs="仿宋_GB2312" w:eastAsia="仿宋_GB2312"/>
                <w:sz w:val="20"/>
                <w:b/>
              </w:rPr>
              <w:t>菜籽</w:t>
            </w:r>
            <w:r>
              <w:rPr>
                <w:rFonts w:ascii="仿宋_GB2312" w:hAnsi="仿宋_GB2312" w:cs="仿宋_GB2312" w:eastAsia="仿宋_GB2312"/>
                <w:sz w:val="20"/>
                <w:b/>
              </w:rPr>
              <w:t>油</w:t>
            </w:r>
            <w:r>
              <w:rPr>
                <w:rFonts w:ascii="仿宋_GB2312" w:hAnsi="仿宋_GB2312" w:cs="仿宋_GB2312" w:eastAsia="仿宋_GB2312"/>
                <w:sz w:val="20"/>
                <w:b/>
              </w:rPr>
              <w:t>3900</w:t>
            </w:r>
            <w:r>
              <w:rPr>
                <w:rFonts w:ascii="仿宋_GB2312" w:hAnsi="仿宋_GB2312" w:cs="仿宋_GB2312" w:eastAsia="仿宋_GB2312"/>
                <w:sz w:val="20"/>
                <w:b/>
              </w:rPr>
              <w:t>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及数量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1）规格：5L/桶</w:t>
            </w:r>
            <w:r>
              <w:rPr>
                <w:rFonts w:ascii="仿宋_GB2312" w:hAnsi="仿宋_GB2312" w:cs="仿宋_GB2312" w:eastAsia="仿宋_GB2312"/>
                <w:sz w:val="20"/>
              </w:rPr>
              <w:t>；数量</w:t>
            </w:r>
            <w:r>
              <w:rPr>
                <w:rFonts w:ascii="仿宋_GB2312" w:hAnsi="仿宋_GB2312" w:cs="仿宋_GB2312" w:eastAsia="仿宋_GB2312"/>
                <w:sz w:val="20"/>
              </w:rPr>
              <w:t>3900</w:t>
            </w:r>
            <w:r>
              <w:rPr>
                <w:rFonts w:ascii="仿宋_GB2312" w:hAnsi="仿宋_GB2312" w:cs="仿宋_GB2312" w:eastAsia="仿宋_GB2312"/>
                <w:sz w:val="20"/>
              </w:rPr>
              <w:t>桶；</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2）工艺：</w:t>
            </w:r>
            <w:r>
              <w:rPr>
                <w:rFonts w:ascii="仿宋_GB2312" w:hAnsi="仿宋_GB2312" w:cs="仿宋_GB2312" w:eastAsia="仿宋_GB2312"/>
                <w:sz w:val="20"/>
              </w:rPr>
              <w:t>采用压榨法</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、质量标准：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1）油脂执行标准：菜籽油GB/T1536</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2）质量标准：具有正常植物油的色泽、透明度、气味和滋味，无焦臭、酸败及其它异味。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3）包装要求：应符合要求，包装无污渍，无破损、无渗漏，油清洁透明，符合国家食品卫生标准的规定。</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4）标识要求：有“SC”标志或生产许可证号，执行标准；标明产品名称、净含量、生产企业名称、电话、地址、生产日期、保质期及营养成分表。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5）供货时剩余保质期不少于标注保质期三分之二。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★交货时间：</w:t>
            </w:r>
            <w:r>
              <w:rPr>
                <w:rFonts w:ascii="仿宋_GB2312" w:hAnsi="仿宋_GB2312" w:cs="仿宋_GB2312" w:eastAsia="仿宋_GB2312"/>
                <w:sz w:val="18"/>
              </w:rPr>
              <w:t>接到采购人通知起</w:t>
            </w:r>
            <w:r>
              <w:rPr>
                <w:rFonts w:ascii="仿宋_GB2312" w:hAnsi="仿宋_GB2312" w:cs="仿宋_GB2312" w:eastAsia="仿宋_GB2312"/>
                <w:sz w:val="18"/>
              </w:rPr>
              <w:t>5</w:t>
            </w:r>
            <w:r>
              <w:rPr>
                <w:rFonts w:ascii="仿宋_GB2312" w:hAnsi="仿宋_GB2312" w:cs="仿宋_GB2312" w:eastAsia="仿宋_GB2312"/>
                <w:sz w:val="18"/>
              </w:rPr>
              <w:t>日内送至指定地点。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rPr>
              <w:t>本项目核心产品：菜籽油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接到采购人通知起5日内送至指定地点。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（一）若甲方对乙方产品质量或数量有异议，应在收货后10日历日内向乙方提出异议，乙方收到异议后48小时内予以答复，乙方应对产品的质量、数量负责。 （二）验收依据： 1、本合同及合同附件。 2、国家相应的标准、规范。 3、磋商文件、响应文件、澄清表（函）。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（2）、未按合同要求提供产品或产品质量不能满足技术要求，甲方有权终止合同，并保留追究乙方违约责任的权利。 （3）、时间迟延的，违约方按照每天10‰向对方承担违约责任。产品质量问题违约的，除了按照迟延时间计算违约金外，另可以采取退货、换货等方式，由供方承担一切费用。 2、合同争议解决的方式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财务状况报告：提供具有财务审计资质单位出具的2024年度财务报告；或开标前六个月内其基本账户银行出具的资信证明；或政府采购信用担保机构出具的担保函；2.税收缴纳证明：提供截止至开标时间前六个月内任意一个月的缴纳凭据；（依法免税的供应商应提供相关文件证明） 3.社会保障资金缴纳证明：提供截止至开标时间前六个月内任意一个月的社保缴纳凭据或社保机构开具的社会保险参保缴纳情况证明；（依法不需要缴纳社会保障资金的供应商应提供相关证明） 4.提供具有履行本合同所必需的设备和专业技术能力的承诺函（加盖供应商公章）；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供应商为产品生产厂家的，须提供《食品生产许可证》及《食品经营许可证》</w:t>
            </w:r>
          </w:p>
        </w:tc>
        <w:tc>
          <w:tcPr>
            <w:tcW w:type="dxa" w:w="3322"/>
          </w:tcPr>
          <w:p>
            <w:pPr>
              <w:pStyle w:val="null3"/>
            </w:pPr>
            <w:r>
              <w:rPr>
                <w:rFonts w:ascii="仿宋_GB2312" w:hAnsi="仿宋_GB2312" w:cs="仿宋_GB2312" w:eastAsia="仿宋_GB2312"/>
              </w:rPr>
              <w:t>供应商为产品生产厂家的，须提供《食品生产许可证》及《食品经营许可证》，供应商需在项目电子化交易系统中按要求上传相应证明文件并进行电子签章。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供应商为产品代理商的，须提供《食品经营许可证》</w:t>
            </w:r>
          </w:p>
        </w:tc>
        <w:tc>
          <w:tcPr>
            <w:tcW w:type="dxa" w:w="3322"/>
          </w:tcPr>
          <w:p>
            <w:pPr>
              <w:pStyle w:val="null3"/>
            </w:pPr>
            <w:r>
              <w:rPr>
                <w:rFonts w:ascii="仿宋_GB2312" w:hAnsi="仿宋_GB2312" w:cs="仿宋_GB2312" w:eastAsia="仿宋_GB2312"/>
              </w:rPr>
              <w:t>供应商为产品代理商的，须提供《食品经营许可证》，供应商需在项目电子化交易系统中按要求上传相应证明文件并进行电子签章。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网站查询结果为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磋商响应文件递交截止之日起90日历天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磋商一览表.docx 技术响应部分.docx 中小企业声明函 残疾人福利性单位声明函 标的清单 法定代表人（或负责人）授权书.docx 其他材料.docx 资格证明材料.docx 响应函 监狱企业的证明文件 商务响应部分.docx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磋商一览表.docx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磋商一览表.docx 技术响应部分.docx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磋商一览表.docx 技术响应部分.docx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产品响应性</w:t>
            </w:r>
          </w:p>
        </w:tc>
        <w:tc>
          <w:tcPr>
            <w:tcW w:type="dxa" w:w="2492"/>
          </w:tcPr>
          <w:p>
            <w:pPr>
              <w:pStyle w:val="null3"/>
            </w:pPr>
            <w:r>
              <w:rPr>
                <w:rFonts w:ascii="仿宋_GB2312" w:hAnsi="仿宋_GB2312" w:cs="仿宋_GB2312" w:eastAsia="仿宋_GB2312"/>
              </w:rPr>
              <w:t>1、产品品牌选择方案：品牌选择知名度、市场占有率高计2分，其他情形计1分； 2、所投产品质量：质量档次较高、信誉度口碑好计2分，其他情形计1分；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p>
            <w:pPr>
              <w:pStyle w:val="null3"/>
            </w:pPr>
            <w:r>
              <w:rPr>
                <w:rFonts w:ascii="仿宋_GB2312" w:hAnsi="仿宋_GB2312" w:cs="仿宋_GB2312" w:eastAsia="仿宋_GB2312"/>
              </w:rPr>
              <w:t>磋商一览表.docx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一、评审内容：针对供应商拟提供的产品指标进行评审，评审内容包含①大米②面粉③菜籽油。 二、评审标准：1、规格：产品规格完全符合采购人要求；2、其他要求：供应商针对采购人对产品除规格外的其他要求（包括但不限于质量、包装、标识、保质期、产品图册、产品图片等）进行详细说明 三、赋分标准（满分6分）： ①大米：每完全满足一项评审标准得1分，满分2分； ②面粉：每完全满足一项评审标准得1分，满分2分； ③菜籽油:每完全满足一项评审标准得1分，满分2分。未提供不得分。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运输、供货、换货方案</w:t>
            </w:r>
          </w:p>
        </w:tc>
        <w:tc>
          <w:tcPr>
            <w:tcW w:type="dxa" w:w="2492"/>
          </w:tcPr>
          <w:p>
            <w:pPr>
              <w:pStyle w:val="null3"/>
            </w:pPr>
            <w:r>
              <w:rPr>
                <w:rFonts w:ascii="仿宋_GB2312" w:hAnsi="仿宋_GB2312" w:cs="仿宋_GB2312" w:eastAsia="仿宋_GB2312"/>
              </w:rPr>
              <w:t>一、评审内容：针对本项目提出运输、供货、换货方案，方案内容包含：①集中运输配送卸货至指定地点的方案；②保证货物足量供应的方案；③出现质量问题换货流程及方案。 二、评审标准：1、完整性：方案须全面，对评审内容中的各项要求有详细描述及说明；2、可实施性：切合本项目实际情况，实施步骤清晰、合理；3、针对性：方案能够紧扣项目实际情况，内容科学合理。 三、赋分标准（满分9分）：①集中运输配送卸货至指定地点的方案：每完全满足一项评审标准得1分，满分3分；②保证货物足量供应的方案：每完全满足一项评审标准得1分，满分3分。③出现质量问题换货流程及方案：每完全满足一项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一、评审内容：针对供应商拟投入本项目人员进行评审，内容包含：①拟投入人员数量、岗位职责；②人员管理制度；③人员服务标准。 二、评审标准：1、完整性：方案须全面，对评审内容中的各项要求有详细描述及说明；2、可实施性：切合本项目实际情况，实施步骤清晰、合理；3、针对性：方案能够紧扣项目实际情况，内容科学合理。 三、赋分标准（满分9分）：①拟投入人员数量、岗位职责：每完全满足一项评审标准得1分，满分3分；②人员管理制度：每完全满足一项评审标准得1分，满分3分； ③人员服务标准：每完全满足一项评审标准得1分，满分3分。未提供不得分。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一、评审内容：针对本项目提出保障措施，内容包含：①食品质量保障措施；②项目进度保障措施；③食品安全保障措施。 二、评审标准：1、完整性：方案须全面，对评审内容中的各项要求有详细 描述及说明；2、可实施性：切合本项目实际情况，实施步骤清晰、合理；3、针对性：方案能够紧扣项目实际情况，内容科学合理。 三、赋分标准（满分18分）：①食品质量保障措施：每完全满足一项评审标准得2分，满分6分；②项目进度保障措施：每完全满足一项评审标准得2分，满分6分；③食品安全保障措施：每完全满足一项评审标准得2分，满分6分。 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一、评审内容：针对本项目特点提供应急预案，预案内容包含①突发事件：如提货期内遇恶劣天气等②违法事件：防盗、寻衅滋事的应急预案； 二、评审标准：1、完整性：方案须全面，对评审内容中的各项要求有详细描述及说明；2、可实施性：切合本项目实际情况，步骤清晰、合理，操作性强；3、针对性：方案能够紧扣项目实际情况，内容科学合理 三、赋分标准（满分6分）： ①突发事件：每完全满足一项评审标准得1分，满分3分；②违法事件:每完全满足一项评审标准得1分，满分3分；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一、评审内容：提供应商的仓储条件包括提供仓库管理制度、仓储设备及仓储条件； 二、评审标准：1、完整性：方案须全面，对评审内容中的各项要求有详细描述及说明；2、可实施性：切合本项目实际情况，操作性强；3、针对性：方案能够紧扣项目实际情况，内容科学合理。 三、赋分标准（满分6分） ①仓库管理制度：每完全满足一项评审标准得1分，满分3分；②仓储设备及仓储条件：每完全满足一项评审标准得 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供应商对本项目服务保障承诺，如不能按期、按需、按量服务本项目的补偿或经济赔偿措施，措施考虑全面完整、具体可行计2分；措施不完整计1分。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自2023年1月1日起至今类似项目业绩。业绩以合同为准。（时间以签订的合同日期为准）,每份计2分,最高得10分。注：合同内容须清晰可辨认，否则视为无效合同。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商务响应部分.docx</w:t>
            </w:r>
          </w:p>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采用低价优先法计算，即满足磋商文件要求且最后报价最低的供应商的价格为磋商基准价，其价格分为满分。磋商报价得分＝（磋商基准价/最后磋商报价）×价格分分值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磋商一览表.docx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详见附件：法定代表人（或负责人）授权书.docx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详见附件：商务响应部分.docx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