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版本号：CGZC-2026-012（ZR20GN2026-CS-007）20260313001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2026年度一区一策大气污染防治服务项目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CGZC-2026-012（ZR20GN2026-CS-007）</w:t>
      </w:r>
      <w:r>
        <w:br/>
      </w:r>
      <w:r>
        <w:br/>
      </w:r>
      <w:r>
        <w:br/>
      </w:r>
    </w:p>
    <w:p>
      <w:pPr>
        <w:pStyle w:val="null3"/>
        <w:jc w:val="center"/>
        <w:outlineLvl w:val="2"/>
      </w:pPr>
      <w:r>
        <w:rPr>
          <w:rFonts w:ascii="仿宋_GB2312" w:hAnsi="仿宋_GB2312" w:cs="仿宋_GB2312" w:eastAsia="仿宋_GB2312"/>
          <w:sz w:val="28"/>
          <w:b/>
        </w:rPr>
        <w:t>西安浐灞国际港生态环境局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西安浐灞国际港生态环境局</w:t>
      </w:r>
      <w:r>
        <w:rPr>
          <w:rFonts w:ascii="仿宋_GB2312" w:hAnsi="仿宋_GB2312" w:cs="仿宋_GB2312" w:eastAsia="仿宋_GB2312"/>
        </w:rPr>
        <w:t>委托，拟对</w:t>
      </w:r>
      <w:r>
        <w:rPr>
          <w:rFonts w:ascii="仿宋_GB2312" w:hAnsi="仿宋_GB2312" w:cs="仿宋_GB2312" w:eastAsia="仿宋_GB2312"/>
        </w:rPr>
        <w:t>2026年度一区一策大气污染防治服务项目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CGZC-2026-012（ZR20GN2026-CS-007）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2026年度一区一策大气污染防治服务项目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采购西安浐灞国际港生态环境局2026年度一区一策大气污染防治服务项目。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采购包1（西安浐灞国际港生态环境局2026年度一区一策大气污染防治服务项目）：属于专门面向中小企业采购。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3、联合体：本项目不接受联合体竞争性磋商。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浐灞商务中心一期</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029-83597547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3、成交单位的代理服务费缴纳信息 银行户名：陕西中润国际招标有限公司 开户银行：中信银行西安曲江池北路支行 账 号：7251310182600086350 联 系 人：李帆 联系电话：029-87321229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西安浐灞国际港生态环境局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服务期届满后，由采购人统一组织开展项目验收。服务成果须符合国家、地方及行业现行有效规范、标准、技术要求，并满足采购人相关管理规定。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实施大气污染防治“一区一策”研判分析，为浐灞国际港提供专家团队驻场跟踪管理咨询服务，精准科学分析研判治霾工作，以结果为导向做好分析，切实做好决策辅助工作。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大气污染防治服务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标的名称：大气污染防治服务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实施大气污染防治</w:t>
            </w:r>
            <w:r>
              <w:rPr>
                <w:rFonts w:ascii="仿宋_GB2312" w:hAnsi="仿宋_GB2312" w:cs="仿宋_GB2312" w:eastAsia="仿宋_GB2312"/>
              </w:rPr>
              <w:t>“一区一策”研判分析，为浐灞国际港提供专家团队驻场跟踪管理咨询服务，精准科学分析研判治霾工作，以结果为导向做好分析，切实做好决策</w:t>
            </w:r>
            <w:r>
              <w:rPr>
                <w:rFonts w:ascii="仿宋_GB2312" w:hAnsi="仿宋_GB2312" w:cs="仿宋_GB2312" w:eastAsia="仿宋_GB2312"/>
              </w:rPr>
              <w:t>辅助</w:t>
            </w:r>
            <w:r>
              <w:rPr>
                <w:rFonts w:ascii="仿宋_GB2312" w:hAnsi="仿宋_GB2312" w:cs="仿宋_GB2312" w:eastAsia="仿宋_GB2312"/>
              </w:rPr>
              <w:t>工作。</w:t>
            </w:r>
          </w:p>
          <w:p>
            <w:pPr>
              <w:pStyle w:val="null3"/>
            </w:pPr>
            <w:r>
              <w:rPr>
                <w:rFonts w:ascii="仿宋_GB2312" w:hAnsi="仿宋_GB2312" w:cs="仿宋_GB2312" w:eastAsia="仿宋_GB2312"/>
                <w:b/>
              </w:rPr>
              <w:t>二、服务内容</w:t>
            </w:r>
          </w:p>
          <w:p>
            <w:pPr>
              <w:pStyle w:val="null3"/>
            </w:pPr>
            <w:r>
              <w:rPr>
                <w:rFonts w:ascii="仿宋_GB2312" w:hAnsi="仿宋_GB2312" w:cs="仿宋_GB2312" w:eastAsia="仿宋_GB2312"/>
              </w:rPr>
              <w:t>供应商应在浐灞国际港网格化管理指挥中心向浐灞国际港提供日常管控及驻场咨询服务，激光雷达扫描走航服务，包括污染分析、环境巡查执法协助服务等多方面技能。</w:t>
            </w:r>
          </w:p>
          <w:p>
            <w:pPr>
              <w:pStyle w:val="null3"/>
            </w:pPr>
            <w:r>
              <w:rPr>
                <w:rFonts w:ascii="仿宋_GB2312" w:hAnsi="仿宋_GB2312" w:cs="仿宋_GB2312" w:eastAsia="仿宋_GB2312"/>
                <w:b/>
              </w:rPr>
              <w:t>三、技术要求</w:t>
            </w:r>
          </w:p>
          <w:p>
            <w:pPr>
              <w:pStyle w:val="null3"/>
            </w:pPr>
            <w:r>
              <w:rPr>
                <w:rFonts w:ascii="仿宋_GB2312" w:hAnsi="仿宋_GB2312" w:cs="仿宋_GB2312" w:eastAsia="仿宋_GB2312"/>
              </w:rPr>
              <w:t>采用专业团队驻点咨询服务</w:t>
            </w:r>
            <w:r>
              <w:rPr>
                <w:rFonts w:ascii="仿宋_GB2312" w:hAnsi="仿宋_GB2312" w:cs="仿宋_GB2312" w:eastAsia="仿宋_GB2312"/>
              </w:rPr>
              <w:t>+立体监测系统建设的模式。提供“重点区域气溶胶激光雷达监测系统+</w:t>
            </w:r>
            <w:r>
              <w:rPr>
                <w:rFonts w:ascii="仿宋_GB2312" w:hAnsi="仿宋_GB2312" w:cs="仿宋_GB2312" w:eastAsia="仿宋_GB2312"/>
              </w:rPr>
              <w:t>大气</w:t>
            </w:r>
            <w:r>
              <w:rPr>
                <w:rFonts w:ascii="仿宋_GB2312" w:hAnsi="仿宋_GB2312" w:cs="仿宋_GB2312" w:eastAsia="仿宋_GB2312"/>
              </w:rPr>
              <w:t>走航车</w:t>
            </w:r>
            <w:r>
              <w:rPr>
                <w:rFonts w:ascii="仿宋_GB2312" w:hAnsi="仿宋_GB2312" w:cs="仿宋_GB2312" w:eastAsia="仿宋_GB2312"/>
              </w:rPr>
              <w:t>高值溯源</w:t>
            </w:r>
            <w:r>
              <w:rPr>
                <w:rFonts w:ascii="仿宋_GB2312" w:hAnsi="仿宋_GB2312" w:cs="仿宋_GB2312" w:eastAsia="仿宋_GB2312"/>
              </w:rPr>
              <w:t>”的污染源监测系统，与近地面站点监测数据相结合，全面监测污染物的跨界传输及污染立体分布强度，深入解析污染成因，为空气质量管控提供科学的技术指引。</w:t>
            </w:r>
          </w:p>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（一）</w:t>
            </w:r>
            <w:r>
              <w:rPr>
                <w:rFonts w:ascii="仿宋_GB2312" w:hAnsi="仿宋_GB2312" w:cs="仿宋_GB2312" w:eastAsia="仿宋_GB2312"/>
              </w:rPr>
              <w:t>专家团队服务</w:t>
            </w:r>
          </w:p>
          <w:p>
            <w:pPr>
              <w:pStyle w:val="null3"/>
            </w:pPr>
            <w:r>
              <w:rPr>
                <w:rFonts w:ascii="仿宋_GB2312" w:hAnsi="仿宋_GB2312" w:cs="仿宋_GB2312" w:eastAsia="仿宋_GB2312"/>
              </w:rPr>
              <w:t>1.日常管控及驻场服务人员不少于3人（熟练掌握相关软件、硬件操作、维护），驻点浐灞国际港网格化管理指挥中心工作。</w:t>
            </w:r>
          </w:p>
          <w:p>
            <w:pPr>
              <w:pStyle w:val="null3"/>
            </w:pPr>
            <w:r>
              <w:rPr>
                <w:rFonts w:ascii="仿宋_GB2312" w:hAnsi="仿宋_GB2312" w:cs="仿宋_GB2312" w:eastAsia="仿宋_GB2312"/>
              </w:rPr>
              <w:t>2.根据获取的有效数据提供数据统计时报、日报、周报以及提供监测数据月度、季度、年度分析报告。</w:t>
            </w:r>
          </w:p>
          <w:p>
            <w:pPr>
              <w:pStyle w:val="null3"/>
            </w:pPr>
            <w:r>
              <w:rPr>
                <w:rFonts w:ascii="仿宋_GB2312" w:hAnsi="仿宋_GB2312" w:cs="仿宋_GB2312" w:eastAsia="仿宋_GB2312"/>
              </w:rPr>
              <w:t>3.参与重污染应急清单编制工作。</w:t>
            </w:r>
          </w:p>
          <w:p>
            <w:pPr>
              <w:pStyle w:val="null3"/>
            </w:pPr>
            <w:r>
              <w:rPr>
                <w:rFonts w:ascii="仿宋_GB2312" w:hAnsi="仿宋_GB2312" w:cs="仿宋_GB2312" w:eastAsia="仿宋_GB2312"/>
              </w:rPr>
              <w:t>4.采取深度融合模式，每日对智慧环保指挥指挥平台、烟火系统告警、出租车走航报警、网格员上报案件等内容进行任务派发，内容审核及报送工作。</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根据环境巡查执法工作的需要开展服务配合，提供巡查执法保障车辆，便于现场巡查和发现问题能快速及时到达现场解决；交通工具必须按国家规定</w:t>
            </w:r>
            <w:r>
              <w:rPr>
                <w:rFonts w:ascii="仿宋_GB2312" w:hAnsi="仿宋_GB2312" w:cs="仿宋_GB2312" w:eastAsia="仿宋_GB2312"/>
              </w:rPr>
              <w:t>缴纳</w:t>
            </w:r>
            <w:r>
              <w:rPr>
                <w:rFonts w:ascii="仿宋_GB2312" w:hAnsi="仿宋_GB2312" w:cs="仿宋_GB2312" w:eastAsia="仿宋_GB2312"/>
              </w:rPr>
              <w:t>车船税，购买交强险、商业保险（三责险</w:t>
            </w:r>
            <w:r>
              <w:rPr>
                <w:rFonts w:ascii="仿宋_GB2312" w:hAnsi="仿宋_GB2312" w:cs="仿宋_GB2312" w:eastAsia="仿宋_GB2312"/>
              </w:rPr>
              <w:t>不小于</w:t>
            </w:r>
            <w:r>
              <w:rPr>
                <w:rFonts w:ascii="仿宋_GB2312" w:hAnsi="仿宋_GB2312" w:cs="仿宋_GB2312" w:eastAsia="仿宋_GB2312"/>
              </w:rPr>
              <w:t>100</w:t>
            </w:r>
            <w:r>
              <w:rPr>
                <w:rFonts w:ascii="仿宋_GB2312" w:hAnsi="仿宋_GB2312" w:cs="仿宋_GB2312" w:eastAsia="仿宋_GB2312"/>
              </w:rPr>
              <w:t>万）、车损险、年检费用，属</w:t>
            </w:r>
            <w:r>
              <w:rPr>
                <w:rFonts w:ascii="仿宋_GB2312" w:hAnsi="仿宋_GB2312" w:cs="仿宋_GB2312" w:eastAsia="仿宋_GB2312"/>
              </w:rPr>
              <w:t>于</w:t>
            </w:r>
            <w:r>
              <w:rPr>
                <w:rFonts w:ascii="仿宋_GB2312" w:hAnsi="仿宋_GB2312" w:cs="仿宋_GB2312" w:eastAsia="仿宋_GB2312"/>
              </w:rPr>
              <w:t>合法的车辆；车辆手续齐全，且车辆必须经过国家法定部门检验合格，符合国家交通安全标准，车况良好</w:t>
            </w:r>
            <w:r>
              <w:rPr>
                <w:rFonts w:ascii="仿宋_GB2312" w:hAnsi="仿宋_GB2312" w:cs="仿宋_GB2312" w:eastAsia="仿宋_GB2312"/>
              </w:rPr>
              <w:t>。</w:t>
            </w:r>
          </w:p>
          <w:p>
            <w:pPr>
              <w:pStyle w:val="null3"/>
            </w:pPr>
            <w:r>
              <w:rPr>
                <w:rFonts w:ascii="仿宋_GB2312" w:hAnsi="仿宋_GB2312" w:cs="仿宋_GB2312" w:eastAsia="仿宋_GB2312"/>
              </w:rPr>
              <w:t>6</w:t>
            </w:r>
            <w:r>
              <w:rPr>
                <w:rFonts w:ascii="仿宋_GB2312" w:hAnsi="仿宋_GB2312" w:cs="仿宋_GB2312" w:eastAsia="仿宋_GB2312"/>
              </w:rPr>
              <w:t>.网格化指挥中心1条50兆专线网络传输费。</w:t>
            </w:r>
          </w:p>
          <w:p>
            <w:pPr>
              <w:pStyle w:val="null3"/>
            </w:pPr>
            <w:r>
              <w:rPr>
                <w:rFonts w:ascii="仿宋_GB2312" w:hAnsi="仿宋_GB2312" w:cs="仿宋_GB2312" w:eastAsia="仿宋_GB2312"/>
              </w:rPr>
              <w:t>（二）气溶胶激光雷达监测</w:t>
            </w:r>
            <w:r>
              <w:rPr>
                <w:rFonts w:ascii="仿宋_GB2312" w:hAnsi="仿宋_GB2312" w:cs="仿宋_GB2312" w:eastAsia="仿宋_GB2312"/>
              </w:rPr>
              <w:t>服务</w:t>
            </w:r>
          </w:p>
          <w:p>
            <w:pPr>
              <w:pStyle w:val="null3"/>
            </w:pPr>
            <w:r>
              <w:rPr>
                <w:rFonts w:ascii="仿宋_GB2312" w:hAnsi="仿宋_GB2312" w:cs="仿宋_GB2312" w:eastAsia="仿宋_GB2312"/>
              </w:rPr>
              <w:t>1.开展常态化雷达扫描服务，一年不少于300天；每月出雷达扫描报告，一年报告不少于12份。</w:t>
            </w:r>
          </w:p>
          <w:p>
            <w:pPr>
              <w:pStyle w:val="null3"/>
            </w:pPr>
            <w:r>
              <w:rPr>
                <w:rFonts w:ascii="仿宋_GB2312" w:hAnsi="仿宋_GB2312" w:cs="仿宋_GB2312" w:eastAsia="仿宋_GB2312"/>
              </w:rPr>
              <w:t>2.根据雷达垂直扫描结果提供沙尘剔除报告，为沙尘剔除提供数据支撑。</w:t>
            </w:r>
          </w:p>
          <w:p>
            <w:pPr>
              <w:pStyle w:val="null3"/>
            </w:pPr>
            <w:r>
              <w:rPr>
                <w:rFonts w:ascii="仿宋_GB2312" w:hAnsi="仿宋_GB2312" w:cs="仿宋_GB2312" w:eastAsia="仿宋_GB2312"/>
              </w:rPr>
              <w:t>3.每月开展走航不少于4次，每次出具走航报告，一年报告不少于48份。</w:t>
            </w:r>
          </w:p>
          <w:p>
            <w:pPr>
              <w:pStyle w:val="null3"/>
            </w:pPr>
            <w:r>
              <w:rPr>
                <w:rFonts w:ascii="仿宋_GB2312" w:hAnsi="仿宋_GB2312" w:cs="仿宋_GB2312" w:eastAsia="仿宋_GB2312"/>
              </w:rPr>
              <w:t>4.重污染应急期间或特殊情况根据需求增加、开展走航服务。</w:t>
            </w:r>
          </w:p>
          <w:p>
            <w:pPr>
              <w:pStyle w:val="null3"/>
            </w:pPr>
            <w:r>
              <w:rPr>
                <w:rFonts w:ascii="仿宋_GB2312" w:hAnsi="仿宋_GB2312" w:cs="仿宋_GB2312" w:eastAsia="仿宋_GB2312"/>
                <w:b/>
              </w:rPr>
              <w:t>五、商务要求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2.1预付款支付条款:</w:t>
            </w:r>
          </w:p>
          <w:p>
            <w:pPr>
              <w:pStyle w:val="null3"/>
            </w:pPr>
            <w:r>
              <w:rPr>
                <w:rFonts w:ascii="仿宋_GB2312" w:hAnsi="仿宋_GB2312" w:cs="仿宋_GB2312" w:eastAsia="仿宋_GB2312"/>
              </w:rPr>
              <w:t>(1)预付款金额:合同签订后预付合同总价款的</w:t>
            </w:r>
            <w:r>
              <w:rPr>
                <w:rFonts w:ascii="仿宋_GB2312" w:hAnsi="仿宋_GB2312" w:cs="仿宋_GB2312" w:eastAsia="仿宋_GB2312"/>
              </w:rPr>
              <w:t>3</w:t>
            </w:r>
            <w:r>
              <w:rPr>
                <w:rFonts w:ascii="仿宋_GB2312" w:hAnsi="仿宋_GB2312" w:cs="仿宋_GB2312" w:eastAsia="仿宋_GB2312"/>
              </w:rPr>
              <w:t>0%:</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)预付款支付条件:合同签订后</w:t>
            </w:r>
            <w:r>
              <w:rPr>
                <w:rFonts w:ascii="仿宋_GB2312" w:hAnsi="仿宋_GB2312" w:cs="仿宋_GB2312" w:eastAsia="仿宋_GB2312"/>
              </w:rPr>
              <w:t>30日</w:t>
            </w:r>
            <w:r>
              <w:rPr>
                <w:rFonts w:ascii="仿宋_GB2312" w:hAnsi="仿宋_GB2312" w:cs="仿宋_GB2312" w:eastAsia="仿宋_GB2312"/>
              </w:rPr>
              <w:t>内</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)其他:本项目预付款是根据政府采购相关政策规定要求，</w:t>
            </w:r>
            <w:r>
              <w:rPr>
                <w:rFonts w:ascii="仿宋_GB2312" w:hAnsi="仿宋_GB2312" w:cs="仿宋_GB2312" w:eastAsia="仿宋_GB2312"/>
              </w:rPr>
              <w:t>采购人</w:t>
            </w:r>
            <w:r>
              <w:rPr>
                <w:rFonts w:ascii="仿宋_GB2312" w:hAnsi="仿宋_GB2312" w:cs="仿宋_GB2312" w:eastAsia="仿宋_GB2312"/>
              </w:rPr>
              <w:t>为帮助</w:t>
            </w:r>
            <w:r>
              <w:rPr>
                <w:rFonts w:ascii="仿宋_GB2312" w:hAnsi="仿宋_GB2312" w:cs="仿宋_GB2312" w:eastAsia="仿宋_GB2312"/>
              </w:rPr>
              <w:t>成交供应商</w:t>
            </w:r>
            <w:r>
              <w:rPr>
                <w:rFonts w:ascii="仿宋_GB2312" w:hAnsi="仿宋_GB2312" w:cs="仿宋_GB2312" w:eastAsia="仿宋_GB2312"/>
              </w:rPr>
              <w:t>解决项目前期启动资金困难，保证</w:t>
            </w:r>
            <w:r>
              <w:rPr>
                <w:rFonts w:ascii="仿宋_GB2312" w:hAnsi="仿宋_GB2312" w:cs="仿宋_GB2312" w:eastAsia="仿宋_GB2312"/>
              </w:rPr>
              <w:t>成交供应商</w:t>
            </w:r>
            <w:r>
              <w:rPr>
                <w:rFonts w:ascii="仿宋_GB2312" w:hAnsi="仿宋_GB2312" w:cs="仿宋_GB2312" w:eastAsia="仿宋_GB2312"/>
              </w:rPr>
              <w:t>更有条件</w:t>
            </w:r>
            <w:r>
              <w:rPr>
                <w:rFonts w:ascii="仿宋_GB2312" w:hAnsi="仿宋_GB2312" w:cs="仿宋_GB2312" w:eastAsia="仿宋_GB2312"/>
              </w:rPr>
              <w:t>履</w:t>
            </w:r>
            <w:r>
              <w:rPr>
                <w:rFonts w:ascii="仿宋_GB2312" w:hAnsi="仿宋_GB2312" w:cs="仿宋_GB2312" w:eastAsia="仿宋_GB2312"/>
              </w:rPr>
              <w:t>行合同的保障性支援性资金。</w:t>
            </w:r>
            <w:r>
              <w:rPr>
                <w:rFonts w:ascii="仿宋_GB2312" w:hAnsi="仿宋_GB2312" w:cs="仿宋_GB2312" w:eastAsia="仿宋_GB2312"/>
              </w:rPr>
              <w:t>成交供应商</w:t>
            </w:r>
            <w:r>
              <w:rPr>
                <w:rFonts w:ascii="仿宋_GB2312" w:hAnsi="仿宋_GB2312" w:cs="仿宋_GB2312" w:eastAsia="仿宋_GB2312"/>
              </w:rPr>
              <w:t>应保证该资金用于项目前期各项工作费用，不得挪作他用，若因此项目进展受到影响，</w:t>
            </w:r>
            <w:r>
              <w:rPr>
                <w:rFonts w:ascii="仿宋_GB2312" w:hAnsi="仿宋_GB2312" w:cs="仿宋_GB2312" w:eastAsia="仿宋_GB2312"/>
              </w:rPr>
              <w:t>成交供应商</w:t>
            </w:r>
            <w:r>
              <w:rPr>
                <w:rFonts w:ascii="仿宋_GB2312" w:hAnsi="仿宋_GB2312" w:cs="仿宋_GB2312" w:eastAsia="仿宋_GB2312"/>
              </w:rPr>
              <w:t>承担由此引起的所有责任。</w:t>
            </w:r>
          </w:p>
          <w:p>
            <w:pPr>
              <w:pStyle w:val="null3"/>
            </w:pPr>
            <w:r>
              <w:rPr>
                <w:rFonts w:ascii="仿宋_GB2312" w:hAnsi="仿宋_GB2312" w:cs="仿宋_GB2312" w:eastAsia="仿宋_GB2312"/>
              </w:rPr>
              <w:t>2.2剩余款项支付条款:服务期结束，</w:t>
            </w:r>
            <w:r>
              <w:rPr>
                <w:rFonts w:ascii="仿宋_GB2312" w:hAnsi="仿宋_GB2312" w:cs="仿宋_GB2312" w:eastAsia="仿宋_GB2312"/>
              </w:rPr>
              <w:t>采购人</w:t>
            </w:r>
            <w:r>
              <w:rPr>
                <w:rFonts w:ascii="仿宋_GB2312" w:hAnsi="仿宋_GB2312" w:cs="仿宋_GB2312" w:eastAsia="仿宋_GB2312"/>
              </w:rPr>
              <w:t>对</w:t>
            </w:r>
            <w:r>
              <w:rPr>
                <w:rFonts w:ascii="仿宋_GB2312" w:hAnsi="仿宋_GB2312" w:cs="仿宋_GB2312" w:eastAsia="仿宋_GB2312"/>
              </w:rPr>
              <w:t>成交供应商</w:t>
            </w:r>
            <w:r>
              <w:rPr>
                <w:rFonts w:ascii="仿宋_GB2312" w:hAnsi="仿宋_GB2312" w:cs="仿宋_GB2312" w:eastAsia="仿宋_GB2312"/>
              </w:rPr>
              <w:t>服务内容进行考核验收，验收合格后后采购人在</w:t>
            </w:r>
            <w:r>
              <w:rPr>
                <w:rFonts w:ascii="仿宋_GB2312" w:hAnsi="仿宋_GB2312" w:cs="仿宋_GB2312" w:eastAsia="仿宋_GB2312"/>
              </w:rPr>
              <w:t>3</w:t>
            </w:r>
            <w:r>
              <w:rPr>
                <w:rFonts w:ascii="仿宋_GB2312" w:hAnsi="仿宋_GB2312" w:cs="仿宋_GB2312" w:eastAsia="仿宋_GB2312"/>
              </w:rPr>
              <w:t>0日内将剩余合同总金额的</w:t>
            </w:r>
            <w:r>
              <w:rPr>
                <w:rFonts w:ascii="仿宋_GB2312" w:hAnsi="仿宋_GB2312" w:cs="仿宋_GB2312" w:eastAsia="仿宋_GB2312"/>
              </w:rPr>
              <w:t>7</w:t>
            </w:r>
            <w:r>
              <w:rPr>
                <w:rFonts w:ascii="仿宋_GB2312" w:hAnsi="仿宋_GB2312" w:cs="仿宋_GB2312" w:eastAsia="仿宋_GB2312"/>
              </w:rPr>
              <w:t>0%一次性支付给</w:t>
            </w:r>
            <w:r>
              <w:rPr>
                <w:rFonts w:ascii="仿宋_GB2312" w:hAnsi="仿宋_GB2312" w:cs="仿宋_GB2312" w:eastAsia="仿宋_GB2312"/>
              </w:rPr>
              <w:t>成交供应商</w:t>
            </w:r>
            <w:r>
              <w:rPr>
                <w:rFonts w:ascii="仿宋_GB2312" w:hAnsi="仿宋_GB2312" w:cs="仿宋_GB2312" w:eastAsia="仿宋_GB2312"/>
              </w:rPr>
              <w:t>。</w:t>
            </w:r>
          </w:p>
          <w:p>
            <w:pPr>
              <w:pStyle w:val="null3"/>
            </w:pPr>
            <w:r>
              <w:rPr>
                <w:rFonts w:ascii="仿宋_GB2312" w:hAnsi="仿宋_GB2312" w:cs="仿宋_GB2312" w:eastAsia="仿宋_GB2312"/>
              </w:rPr>
              <w:t>注：乙方应向甲方出具符合国家财税规定的增值税发票，否则甲方有权延迟履行付款义务。如因乙方缘故</w:t>
            </w:r>
            <w:r>
              <w:rPr>
                <w:rFonts w:ascii="仿宋_GB2312" w:hAnsi="仿宋_GB2312" w:cs="仿宋_GB2312" w:eastAsia="仿宋_GB2312"/>
              </w:rPr>
              <w:t>(如开具增值税发票延误等)导致甲方无法按时付款，甲方不承担违约责任。如遇突发事件，付款日期则以实际付款日期为准。</w:t>
            </w:r>
          </w:p>
          <w:p>
            <w:pPr>
              <w:pStyle w:val="null3"/>
            </w:pPr>
            <w:r>
              <w:rPr>
                <w:rFonts w:ascii="仿宋_GB2312" w:hAnsi="仿宋_GB2312" w:cs="仿宋_GB2312" w:eastAsia="仿宋_GB2312"/>
                <w:sz w:val="22"/>
              </w:rPr>
              <w:t>2.3</w:t>
            </w:r>
            <w:r>
              <w:rPr>
                <w:rFonts w:ascii="仿宋_GB2312" w:hAnsi="仿宋_GB2312" w:cs="仿宋_GB2312" w:eastAsia="仿宋_GB2312"/>
                <w:sz w:val="22"/>
              </w:rPr>
              <w:t>付款依据</w:t>
            </w:r>
            <w:r>
              <w:rPr>
                <w:rFonts w:ascii="仿宋_GB2312" w:hAnsi="仿宋_GB2312" w:cs="仿宋_GB2312" w:eastAsia="仿宋_GB2312"/>
                <w:sz w:val="22"/>
              </w:rPr>
              <w:t>：</w:t>
            </w:r>
            <w:r>
              <w:rPr>
                <w:rFonts w:ascii="仿宋_GB2312" w:hAnsi="仿宋_GB2312" w:cs="仿宋_GB2312" w:eastAsia="仿宋_GB2312"/>
                <w:sz w:val="22"/>
              </w:rPr>
              <w:t>采购人</w:t>
            </w:r>
            <w:r>
              <w:rPr>
                <w:rFonts w:ascii="仿宋_GB2312" w:hAnsi="仿宋_GB2312" w:cs="仿宋_GB2312" w:eastAsia="仿宋_GB2312"/>
                <w:sz w:val="22"/>
              </w:rPr>
              <w:t>根据</w:t>
            </w:r>
            <w:r>
              <w:rPr>
                <w:rFonts w:ascii="仿宋_GB2312" w:hAnsi="仿宋_GB2312" w:cs="仿宋_GB2312" w:eastAsia="仿宋_GB2312"/>
                <w:sz w:val="22"/>
              </w:rPr>
              <w:t>成交供应商</w:t>
            </w:r>
            <w:r>
              <w:rPr>
                <w:rFonts w:ascii="仿宋_GB2312" w:hAnsi="仿宋_GB2312" w:cs="仿宋_GB2312" w:eastAsia="仿宋_GB2312"/>
                <w:sz w:val="22"/>
              </w:rPr>
              <w:t>出具的确认后的</w:t>
            </w:r>
            <w:r>
              <w:rPr>
                <w:rFonts w:ascii="仿宋_GB2312" w:hAnsi="仿宋_GB2312" w:cs="仿宋_GB2312" w:eastAsia="仿宋_GB2312"/>
                <w:sz w:val="22"/>
              </w:rPr>
              <w:t>资料</w:t>
            </w:r>
            <w:r>
              <w:rPr>
                <w:rFonts w:ascii="仿宋_GB2312" w:hAnsi="仿宋_GB2312" w:cs="仿宋_GB2312" w:eastAsia="仿宋_GB2312"/>
                <w:sz w:val="22"/>
              </w:rPr>
              <w:t>报告</w:t>
            </w:r>
            <w:r>
              <w:rPr>
                <w:rFonts w:ascii="仿宋_GB2312" w:hAnsi="仿宋_GB2312" w:cs="仿宋_GB2312" w:eastAsia="仿宋_GB2312"/>
                <w:sz w:val="22"/>
              </w:rPr>
              <w:t>，</w:t>
            </w:r>
            <w:r>
              <w:rPr>
                <w:rFonts w:ascii="仿宋_GB2312" w:hAnsi="仿宋_GB2312" w:cs="仿宋_GB2312" w:eastAsia="仿宋_GB2312"/>
                <w:sz w:val="22"/>
              </w:rPr>
              <w:t>成交供应商</w:t>
            </w:r>
            <w:r>
              <w:rPr>
                <w:rFonts w:ascii="仿宋_GB2312" w:hAnsi="仿宋_GB2312" w:cs="仿宋_GB2312" w:eastAsia="仿宋_GB2312"/>
                <w:sz w:val="22"/>
              </w:rPr>
              <w:t>提供的等额增值税普通发票。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人员配置需满足本项目服务要求。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服务期届满后，由采购人统一组织开展项目验收。服务成果须符合国家、地方及行业现行有效规范、标准、技术要求，并满足采购人相关管理规定。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合同签订后，甲方支付给乙方预付款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服务期结束，甲方对乙方服务内容进行考核验收，验收合格后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乙方所提供的服务内容出现瑕疵及质量问题，或乙方擅自解除或终止本合同的，或乙方未按合同要求提供服务或服务不能满足合同要求，经甲方要求限期整改仍未整改完成后拒绝整改的，甲方有权单方解除本协议，乙方应当按照合同金额的20%向甲方承担违约金。 3.乙方因履行本合同义务造成第三人财产或人身损害的，应当自行承担损害赔偿义务。因此给甲方财产造成损失的，乙方应当予以赔偿。 4.乙方及其员工在履行本协议过程中受到第三人伤害的，应当予由乙方自行负责。 5.甲乙双方应遵守合同并执行合同中的各项规定，保证合同的正常履行。 6.如碰到不可抗力因素造成无法按照原计划提供服务的，由甲乙双方协商解决。因本合同产生纠纷，如协商无法解决，双方均有权向甲方所在地人民法院提起诉讼。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3.3.1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3.3.2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号）规定的划分标准：（三）其他未列明行业。从业人员300人以下的为中小微型企业。其中，从业人员100人及以上的为中型企业；从业人员10人及以上的为小型企业；从业人员10人以下的为微型企业。 3.3.3落实政府采购政策：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③、《国家互联网信息办公室 工业和信息化部 公安部 财政部 国家认证认可监督管理委员会关于调整网络安全专用产品安全管理有关事项的公告》（2023年第1号）。 ④、《陕西省财政厅关于加快推进我省中小企业政府采购信用融资工作的通知》（陕财办采〔2020〕15 号）、陕西省财政厅关于印发《陕西省中小企业政府采购信用融资办法》（陕财办采〔2018〕23 号）、《陕西省财政厅、中国人民银行西安分行关于深入推进政府采购信用融资业务的通知》陕财办采〔2023〕5号。 ⑤、国务院办公厅《关于建立政府强制采购节能产品制度的通知》（国办发〔2007〕51号） 《财政部 发展改革委 生态环境部 国家监管总局关于调整优化节能产品、环境标志产品政府采购执行机制的通知》（财库〔2019〕9号）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 （2）提供供应商在递交响应文件截止时间前6个月内任意一个月已缴纳的完税凭证或税务机关开具的完税证明（任意税种）（银行出具的缴税凭证或税务机关出具的证明的复印件，并加盖本单位公章）。依法免税或无须缴纳税收的供应商，应提供相应文件证明其依法免税； （3）提供供应商在递交响应文件截止时间前6个月内任意一个月已缴纳的社会保障资金缴存单据或社保机构开具的社会保险参保缴费情况证明，并加盖本单位公章。不需要缴纳社会保障资金的供应商，应提供相应文件证明其不需要缴纳社会保障资金； （4）具备履行合同所必需的设备和专业技术能力的承诺； （5）供应商参加政府采购活动前3年内在经营活动中没有重大违法记录的书面声明。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中小企业声明函 残疾人福利性单位声明函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政府采购供应商拒绝政府采购领域商业贿赂承诺书.docx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首次磋商报价表及分项报价表.docx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响应文件封面 服务内容及服务邀请应答表 首次磋商报价表及分项报价表.docx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响应文件封面 首次磋商报价表及分项报价表.docx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提供的本项目服务内容制定项目实施方案，方案内容涵盖本项目服务需求，同时提供详细的人员配置、服务内容安排等相关内容，方案内容完全满足招标文件要求，内容科学、完善、可实施性强的得10分；方案内容合理、较完善、可实施性较强的得7分；内容一般、部分完善、可实施性一般的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拟投入辅助设备</w:t>
            </w:r>
          </w:p>
        </w:tc>
        <w:tc>
          <w:tcPr>
            <w:tcW w:type="dxa" w:w="2492"/>
          </w:tcPr>
          <w:p>
            <w:pPr>
              <w:pStyle w:val="null3"/>
            </w:pPr>
            <w:r>
              <w:rPr>
                <w:rFonts w:ascii="仿宋_GB2312" w:hAnsi="仿宋_GB2312" w:cs="仿宋_GB2312" w:eastAsia="仿宋_GB2312"/>
              </w:rPr>
              <w:t>供应商提供针对本项目所需要的辅助设备：气溶胶激光雷达扫描设备、激光雷达走航车、便携式六参分析仪，同时具有得6分，缺一项扣2分不提供不得分；在满足三台的基础上每增加一台项目所需要的辅助设备加2分；本项满分10分。（须提供供应商设备购销合同或租赁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项目服务流程和进度</w:t>
            </w:r>
          </w:p>
        </w:tc>
        <w:tc>
          <w:tcPr>
            <w:tcW w:type="dxa" w:w="2492"/>
          </w:tcPr>
          <w:p>
            <w:pPr>
              <w:pStyle w:val="null3"/>
            </w:pPr>
            <w:r>
              <w:rPr>
                <w:rFonts w:ascii="仿宋_GB2312" w:hAnsi="仿宋_GB2312" w:cs="仿宋_GB2312" w:eastAsia="仿宋_GB2312"/>
              </w:rPr>
              <w:t>供应商针对本项目提供的服务流程的完整性、进度安排的合理紧凑性、工作实施的可行性等内容；服务流程完整，进度安排合理，工作实施的可行性强得8分；服务流程较完整，进度安排较合理，实施方案基本满足采购人需求得5分；服务流程基本完整，进度安排基本合理，基本满足采购人需求得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空气质量状况分析</w:t>
            </w:r>
          </w:p>
        </w:tc>
        <w:tc>
          <w:tcPr>
            <w:tcW w:type="dxa" w:w="2492"/>
          </w:tcPr>
          <w:p>
            <w:pPr>
              <w:pStyle w:val="null3"/>
            </w:pPr>
            <w:r>
              <w:rPr>
                <w:rFonts w:ascii="仿宋_GB2312" w:hAnsi="仿宋_GB2312" w:cs="仿宋_GB2312" w:eastAsia="仿宋_GB2312"/>
              </w:rPr>
              <w:t>供应商提供的本项目环境空气质量状况分析情况进行评分；空气质量状况分析严谨，依据完善，分析结果科学，具备较强的参考性得7分；空气质量状况分析较严谨，依据较完善，分析结果具备一定的参考性得5分；空气质量状况分析基本严谨，依据基本明确，分析结果一般得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污染特征及污染成因分析</w:t>
            </w:r>
          </w:p>
        </w:tc>
        <w:tc>
          <w:tcPr>
            <w:tcW w:type="dxa" w:w="2492"/>
          </w:tcPr>
          <w:p>
            <w:pPr>
              <w:pStyle w:val="null3"/>
            </w:pPr>
            <w:r>
              <w:rPr>
                <w:rFonts w:ascii="仿宋_GB2312" w:hAnsi="仿宋_GB2312" w:cs="仿宋_GB2312" w:eastAsia="仿宋_GB2312"/>
              </w:rPr>
              <w:t>供应商提供的本项目污染特征及污染成因分析情况进行评分；分析严谨，依据完善，分析结果科学，具备较强的参考性，得7分；分析较严谨，依据较完善，分析结果具备一定的参考性，得5分；分析基本严谨，分析结果。部分具备参考性，得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为高级及以上职称的得2分，中级职称得1分，其余不得分；主持或参与过大气治理相关科研项目的，每参加或负责一个的得1分，满分3分。（须提供参与或主持大气相关项目课题任务书扫描件、近半年内连续3个月的社会保险缴存证明扫描件等证明文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项目组成员能力</w:t>
            </w:r>
          </w:p>
        </w:tc>
        <w:tc>
          <w:tcPr>
            <w:tcW w:type="dxa" w:w="2492"/>
          </w:tcPr>
          <w:p>
            <w:pPr>
              <w:pStyle w:val="null3"/>
            </w:pPr>
            <w:r>
              <w:rPr>
                <w:rFonts w:ascii="仿宋_GB2312" w:hAnsi="仿宋_GB2312" w:cs="仿宋_GB2312" w:eastAsia="仿宋_GB2312"/>
              </w:rPr>
              <w:t>日常管控及驻场服务人员具有类似项目工作经验的专业人员（提供相关的学历证书、资格证书或从业证明、近半年内连续3个月的社会保险缴存证明扫描件，提供不全不得分），成员为3人以上得6分，2人得4分，1人及以下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制度建设</w:t>
            </w:r>
          </w:p>
        </w:tc>
        <w:tc>
          <w:tcPr>
            <w:tcW w:type="dxa" w:w="2492"/>
          </w:tcPr>
          <w:p>
            <w:pPr>
              <w:pStyle w:val="null3"/>
            </w:pPr>
            <w:r>
              <w:rPr>
                <w:rFonts w:ascii="仿宋_GB2312" w:hAnsi="仿宋_GB2312" w:cs="仿宋_GB2312" w:eastAsia="仿宋_GB2312"/>
              </w:rPr>
              <w:t>供应商提供的管理责任清晰，日常管理制度完善、程序规范得5分；管理责任一般，日常管理制度一般得3分；未提供不得分。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实施过程中可能会遇到的突发应急事件，按突发应急预案完整性、全面性、认知深度和专业性进行评审。突发应急预案合理、完善、详尽，可行性强得6分；突发应急预案较合理、完善，可行性较强得4分；突发应急预案基本合理、可行性一般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供应商提供的售后服务方案满足采购方要求，内容合理、针对性强得5分；内容合理、针对性较强得3分；内容基本合理、针对性一般得1分；未提供不得分。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w:t>
            </w:r>
          </w:p>
        </w:tc>
        <w:tc>
          <w:tcPr>
            <w:tcW w:type="dxa" w:w="2492"/>
          </w:tcPr>
          <w:p>
            <w:pPr>
              <w:pStyle w:val="null3"/>
            </w:pPr>
            <w:r>
              <w:rPr>
                <w:rFonts w:ascii="仿宋_GB2312" w:hAnsi="仿宋_GB2312" w:cs="仿宋_GB2312" w:eastAsia="仿宋_GB2312"/>
              </w:rPr>
              <w:t>具有完善的保密措施和保密方案，从管理、人员、技术等各个方面，全面保证采购人数据及相关信息不泄密；保密方案内容详细，可行性强得3分；保密方案内容完整，可行性较强得2分；保密方案内容一般，可行性较差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供应商提供的针对本项目的服务承诺。服务承诺明确、合理性强得3分；内容基本合理、针对性一般得1分；未提供不得分。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供应商提供自2023年01月01日以来类似项目业绩，每提供1份得2分，满分10分。（以合同签订时间为准，提供合同复印件加盖公章）未提供不得分。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首次磋商报价表及分项报价表.docx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详见附件：首次磋商报价表及分项报价表.docx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详见附件：西安浐灞国际港生态环境局2026年度一区一策大气污染防治服务项目采购合同.docx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