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16F9F">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lang w:eastAsia="zh-CN"/>
        </w:rPr>
      </w:pPr>
    </w:p>
    <w:p w14:paraId="0E8AA496">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lang w:eastAsia="zh-CN"/>
        </w:rPr>
      </w:pPr>
    </w:p>
    <w:p w14:paraId="7B65BC36">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eastAsia="zh-CN"/>
        </w:rPr>
      </w:pPr>
    </w:p>
    <w:p w14:paraId="3C75DC73">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eastAsia="zh-CN"/>
        </w:rPr>
      </w:pPr>
    </w:p>
    <w:p w14:paraId="03C42652">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val="zh-TW" w:eastAsia="zh-TW"/>
        </w:rPr>
      </w:pPr>
      <w:r>
        <w:rPr>
          <w:rFonts w:hint="eastAsia" w:cs="宋体"/>
          <w:b/>
          <w:bCs/>
          <w:color w:val="auto"/>
          <w:sz w:val="48"/>
          <w:szCs w:val="48"/>
          <w:highlight w:val="none"/>
          <w:lang w:eastAsia="zh-CN"/>
        </w:rPr>
        <w:t>开发区审核公告目录修订相关项目</w:t>
      </w:r>
    </w:p>
    <w:p w14:paraId="1B531465">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val="zh-TW" w:eastAsia="zh-TW"/>
        </w:rPr>
      </w:pPr>
    </w:p>
    <w:p w14:paraId="58DDFF83">
      <w:pPr>
        <w:keepNext w:val="0"/>
        <w:keepLines w:val="0"/>
        <w:pageBreakBefore w:val="0"/>
        <w:widowControl w:val="0"/>
        <w:shd w:val="clear"/>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color w:val="auto"/>
          <w:sz w:val="48"/>
          <w:szCs w:val="48"/>
          <w:highlight w:val="none"/>
          <w:lang w:eastAsia="zh-CN"/>
        </w:rPr>
      </w:pPr>
      <w:bookmarkStart w:id="0" w:name="_Toc20701"/>
      <w:r>
        <w:rPr>
          <w:rFonts w:hint="eastAsia" w:cs="宋体"/>
          <w:b/>
          <w:bCs/>
          <w:color w:val="auto"/>
          <w:sz w:val="48"/>
          <w:szCs w:val="48"/>
          <w:highlight w:val="none"/>
          <w:lang w:eastAsia="zh-CN"/>
        </w:rPr>
        <w:t>(合同</w:t>
      </w:r>
      <w:r>
        <w:rPr>
          <w:rFonts w:hint="eastAsia" w:ascii="宋体" w:hAnsi="宋体" w:eastAsia="宋体" w:cs="宋体"/>
          <w:b/>
          <w:bCs/>
          <w:color w:val="auto"/>
          <w:sz w:val="48"/>
          <w:szCs w:val="48"/>
          <w:highlight w:val="none"/>
        </w:rPr>
        <w:t>示范文本</w:t>
      </w:r>
      <w:bookmarkEnd w:id="0"/>
      <w:r>
        <w:rPr>
          <w:rFonts w:hint="eastAsia" w:cs="宋体"/>
          <w:b/>
          <w:bCs/>
          <w:color w:val="auto"/>
          <w:sz w:val="48"/>
          <w:szCs w:val="48"/>
          <w:highlight w:val="none"/>
          <w:lang w:eastAsia="zh-CN"/>
        </w:rPr>
        <w:t>)</w:t>
      </w:r>
    </w:p>
    <w:p w14:paraId="51C57364">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rPr>
      </w:pPr>
    </w:p>
    <w:p w14:paraId="52E9B4CD">
      <w:pPr>
        <w:pStyle w:val="2"/>
        <w:shd w:val="clear"/>
        <w:rPr>
          <w:rFonts w:hint="eastAsia" w:ascii="宋体" w:hAnsi="宋体" w:eastAsia="宋体" w:cs="宋体"/>
          <w:color w:val="auto"/>
          <w:highlight w:val="none"/>
        </w:rPr>
      </w:pPr>
    </w:p>
    <w:p w14:paraId="3A6A926D">
      <w:pPr>
        <w:rPr>
          <w:rFonts w:hint="eastAsia" w:ascii="宋体" w:hAnsi="宋体" w:eastAsia="宋体" w:cs="宋体"/>
          <w:color w:val="auto"/>
          <w:highlight w:val="none"/>
        </w:rPr>
      </w:pPr>
      <w:bookmarkStart w:id="7" w:name="_GoBack"/>
      <w:bookmarkEnd w:id="7"/>
    </w:p>
    <w:p w14:paraId="7F3E3316">
      <w:pPr>
        <w:rPr>
          <w:rFonts w:hint="eastAsia" w:ascii="宋体" w:hAnsi="宋体" w:eastAsia="宋体" w:cs="宋体"/>
          <w:color w:val="auto"/>
          <w:highlight w:val="none"/>
        </w:rPr>
      </w:pPr>
    </w:p>
    <w:p w14:paraId="719FA6CD">
      <w:pPr>
        <w:rPr>
          <w:rFonts w:hint="eastAsia" w:ascii="宋体" w:hAnsi="宋体" w:eastAsia="宋体" w:cs="宋体"/>
          <w:color w:val="auto"/>
          <w:highlight w:val="none"/>
        </w:rPr>
      </w:pPr>
    </w:p>
    <w:p w14:paraId="0316EFB4">
      <w:pPr>
        <w:pStyle w:val="2"/>
        <w:shd w:val="clear"/>
        <w:rPr>
          <w:rFonts w:hint="eastAsia" w:ascii="宋体" w:hAnsi="宋体" w:eastAsia="宋体" w:cs="宋体"/>
          <w:color w:val="auto"/>
          <w:highlight w:val="none"/>
        </w:rPr>
      </w:pPr>
    </w:p>
    <w:p w14:paraId="600BD0BA">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rPr>
      </w:pPr>
    </w:p>
    <w:p w14:paraId="01B0FB9C">
      <w:pPr>
        <w:keepNext w:val="0"/>
        <w:keepLines w:val="0"/>
        <w:pageBreakBefore w:val="0"/>
        <w:widowControl w:val="0"/>
        <w:shd w:val="clear"/>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highlight w:val="none"/>
        </w:rPr>
      </w:pPr>
    </w:p>
    <w:p w14:paraId="79F44BC0">
      <w:pPr>
        <w:keepNext w:val="0"/>
        <w:keepLines w:val="0"/>
        <w:pageBreakBefore w:val="0"/>
        <w:widowControl w:val="0"/>
        <w:shd w:val="clear"/>
        <w:kinsoku/>
        <w:wordWrap/>
        <w:overflowPunct/>
        <w:topLinePunct w:val="0"/>
        <w:autoSpaceDE w:val="0"/>
        <w:autoSpaceDN w:val="0"/>
        <w:bidi w:val="0"/>
        <w:adjustRightInd/>
        <w:snapToGrid/>
        <w:spacing w:line="360" w:lineRule="auto"/>
        <w:ind w:left="0" w:leftChars="0" w:firstLine="2208" w:firstLineChars="611"/>
        <w:textAlignment w:val="auto"/>
        <w:rPr>
          <w:rFonts w:hint="default"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rPr>
        <w:t>甲方：</w:t>
      </w:r>
      <w:r>
        <w:rPr>
          <w:rFonts w:hint="eastAsia" w:cs="宋体"/>
          <w:b/>
          <w:bCs/>
          <w:color w:val="auto"/>
          <w:sz w:val="36"/>
          <w:szCs w:val="36"/>
          <w:highlight w:val="none"/>
          <w:u w:val="single"/>
          <w:lang w:val="en-US" w:eastAsia="zh-CN"/>
        </w:rPr>
        <w:t xml:space="preserve">                       </w:t>
      </w:r>
    </w:p>
    <w:p w14:paraId="3E92CEDF">
      <w:pPr>
        <w:keepNext w:val="0"/>
        <w:keepLines w:val="0"/>
        <w:pageBreakBefore w:val="0"/>
        <w:widowControl w:val="0"/>
        <w:shd w:val="clear"/>
        <w:kinsoku/>
        <w:wordWrap/>
        <w:overflowPunct/>
        <w:topLinePunct w:val="0"/>
        <w:autoSpaceDE w:val="0"/>
        <w:autoSpaceDN w:val="0"/>
        <w:bidi w:val="0"/>
        <w:adjustRightInd/>
        <w:snapToGrid/>
        <w:spacing w:line="360" w:lineRule="auto"/>
        <w:ind w:left="0" w:leftChars="0" w:firstLine="2208" w:firstLineChars="611"/>
        <w:textAlignment w:val="auto"/>
        <w:rPr>
          <w:rFonts w:hint="eastAsia" w:ascii="宋体" w:hAnsi="宋体" w:eastAsia="宋体" w:cs="宋体"/>
          <w:b/>
          <w:bCs/>
          <w:color w:val="auto"/>
          <w:sz w:val="36"/>
          <w:szCs w:val="36"/>
          <w:highlight w:val="none"/>
        </w:rPr>
      </w:pPr>
    </w:p>
    <w:p w14:paraId="53C34E21">
      <w:pPr>
        <w:keepNext w:val="0"/>
        <w:keepLines w:val="0"/>
        <w:pageBreakBefore w:val="0"/>
        <w:widowControl w:val="0"/>
        <w:shd w:val="clear"/>
        <w:kinsoku/>
        <w:wordWrap/>
        <w:overflowPunct/>
        <w:topLinePunct w:val="0"/>
        <w:autoSpaceDE w:val="0"/>
        <w:autoSpaceDN w:val="0"/>
        <w:bidi w:val="0"/>
        <w:adjustRightInd/>
        <w:snapToGrid/>
        <w:spacing w:line="360" w:lineRule="auto"/>
        <w:ind w:left="0" w:leftChars="0" w:firstLine="2208" w:firstLineChars="611"/>
        <w:textAlignment w:val="auto"/>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乙方：</w:t>
      </w:r>
      <w:r>
        <w:rPr>
          <w:rFonts w:hint="eastAsia" w:cs="宋体"/>
          <w:b/>
          <w:bCs/>
          <w:color w:val="auto"/>
          <w:sz w:val="36"/>
          <w:szCs w:val="36"/>
          <w:highlight w:val="none"/>
          <w:u w:val="single"/>
          <w:lang w:val="en-US" w:eastAsia="zh-CN"/>
        </w:rPr>
        <w:t xml:space="preserve">                       </w:t>
      </w:r>
    </w:p>
    <w:p w14:paraId="51E6CBA4">
      <w:pPr>
        <w:shd w:val="clea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A8812D7">
      <w:pPr>
        <w:keepNext w:val="0"/>
        <w:keepLines w:val="0"/>
        <w:pageBreakBefore w:val="0"/>
        <w:widowControl w:val="0"/>
        <w:shd w:val="clear"/>
        <w:kinsoku/>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甲  方</w:t>
      </w:r>
      <w:r>
        <w:rPr>
          <w:rFonts w:hint="eastAsia" w:ascii="宋体" w:hAnsi="宋体" w:eastAsia="宋体" w:cs="宋体"/>
          <w:b/>
          <w:color w:val="auto"/>
          <w:sz w:val="21"/>
          <w:szCs w:val="21"/>
          <w:highlight w:val="none"/>
        </w:rPr>
        <w:t>（全称）：</w:t>
      </w:r>
      <w:r>
        <w:rPr>
          <w:rFonts w:hint="eastAsia" w:ascii="宋体" w:hAnsi="宋体" w:eastAsia="宋体" w:cs="宋体"/>
          <w:b/>
          <w:color w:val="auto"/>
          <w:sz w:val="21"/>
          <w:szCs w:val="21"/>
          <w:highlight w:val="none"/>
          <w:u w:val="single"/>
        </w:rPr>
        <w:t xml:space="preserve">                                      </w:t>
      </w:r>
    </w:p>
    <w:p w14:paraId="20C4CC8E">
      <w:pPr>
        <w:keepNext w:val="0"/>
        <w:keepLines w:val="0"/>
        <w:pageBreakBefore w:val="0"/>
        <w:widowControl w:val="0"/>
        <w:shd w:val="clear"/>
        <w:kinsoku/>
        <w:wordWrap/>
        <w:overflowPunct/>
        <w:topLinePunct w:val="0"/>
        <w:autoSpaceDE/>
        <w:autoSpaceDN/>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乙  方</w:t>
      </w:r>
      <w:r>
        <w:rPr>
          <w:rFonts w:hint="eastAsia" w:ascii="宋体" w:hAnsi="宋体" w:eastAsia="宋体" w:cs="宋体"/>
          <w:b/>
          <w:color w:val="auto"/>
          <w:sz w:val="21"/>
          <w:szCs w:val="21"/>
          <w:highlight w:val="none"/>
        </w:rPr>
        <w:t>（全称）：</w:t>
      </w:r>
      <w:r>
        <w:rPr>
          <w:rFonts w:hint="eastAsia" w:ascii="宋体" w:hAnsi="宋体" w:eastAsia="宋体" w:cs="宋体"/>
          <w:b/>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14:paraId="63DB2B2F">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根据《中华人民共和国政府采购法》及实施条例、《中华人民共和国民法典》及其他有关法律、法规，遵循平等、自愿、公平和诚信的原则，双方就下述项目范围与相关服务事项协商一致，订立本合同。</w:t>
      </w:r>
    </w:p>
    <w:p w14:paraId="07FBBF5F">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bookmarkStart w:id="1" w:name="_Toc9604"/>
      <w:bookmarkStart w:id="2" w:name="_Toc3289"/>
      <w:r>
        <w:rPr>
          <w:rFonts w:hint="eastAsia" w:ascii="宋体" w:hAnsi="宋体" w:eastAsia="宋体" w:cs="宋体"/>
          <w:b/>
          <w:color w:val="auto"/>
          <w:sz w:val="21"/>
          <w:szCs w:val="21"/>
          <w:highlight w:val="none"/>
        </w:rPr>
        <w:t>一</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项目概况</w:t>
      </w:r>
      <w:bookmarkEnd w:id="1"/>
      <w:bookmarkEnd w:id="2"/>
    </w:p>
    <w:p w14:paraId="5F05D361">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u w:val="single"/>
        </w:rPr>
        <w:t xml:space="preserve">                                        </w:t>
      </w:r>
    </w:p>
    <w:p w14:paraId="72257A86">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项目地点：</w:t>
      </w:r>
      <w:r>
        <w:rPr>
          <w:rFonts w:hint="eastAsia" w:ascii="宋体" w:hAnsi="宋体" w:eastAsia="宋体" w:cs="宋体"/>
          <w:color w:val="auto"/>
          <w:sz w:val="21"/>
          <w:szCs w:val="21"/>
          <w:highlight w:val="none"/>
          <w:u w:val="single"/>
        </w:rPr>
        <w:t xml:space="preserve">                                        </w:t>
      </w:r>
    </w:p>
    <w:p w14:paraId="1CD256D5">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u w:val="single"/>
        </w:rPr>
      </w:pPr>
      <w:bookmarkStart w:id="3" w:name="_Toc16118"/>
      <w:bookmarkStart w:id="4" w:name="_Toc12772"/>
      <w:r>
        <w:rPr>
          <w:rFonts w:hint="eastAsia" w:ascii="宋体" w:hAnsi="宋体" w:eastAsia="宋体" w:cs="宋体"/>
          <w:color w:val="auto"/>
          <w:sz w:val="21"/>
          <w:szCs w:val="21"/>
          <w:highlight w:val="none"/>
          <w:lang w:val="en-US" w:eastAsia="zh-CN"/>
        </w:rPr>
        <w:t>3、</w:t>
      </w:r>
      <w:r>
        <w:rPr>
          <w:rFonts w:hint="eastAsia" w:hAnsi="宋体" w:cs="宋体"/>
          <w:color w:val="auto"/>
          <w:sz w:val="21"/>
          <w:szCs w:val="21"/>
          <w:highlight w:val="none"/>
          <w:lang w:val="en-US" w:eastAsia="zh-CN"/>
        </w:rPr>
        <w:t>项目概况：</w:t>
      </w:r>
      <w:r>
        <w:rPr>
          <w:rFonts w:hint="eastAsia" w:ascii="宋体" w:hAnsi="宋体" w:eastAsia="宋体" w:cs="宋体"/>
          <w:color w:val="auto"/>
          <w:sz w:val="21"/>
          <w:szCs w:val="21"/>
          <w:highlight w:val="none"/>
          <w:u w:val="single"/>
        </w:rPr>
        <w:t xml:space="preserve">                                        </w:t>
      </w:r>
    </w:p>
    <w:p w14:paraId="74ACD447">
      <w:pPr>
        <w:keepNext w:val="0"/>
        <w:keepLines w:val="0"/>
        <w:pageBreakBefore w:val="0"/>
        <w:widowControl w:val="0"/>
        <w:shd w:val="clear"/>
        <w:kinsoku/>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hAnsi="宋体" w:cs="宋体"/>
          <w:color w:val="auto"/>
          <w:sz w:val="21"/>
          <w:szCs w:val="21"/>
          <w:highlight w:val="none"/>
          <w:u w:val="none"/>
          <w:lang w:val="en-US" w:eastAsia="zh-CN"/>
        </w:rPr>
        <w:t>4、</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p>
    <w:p w14:paraId="11597BDB">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组成本合同的文件</w:t>
      </w:r>
      <w:bookmarkEnd w:id="3"/>
      <w:bookmarkEnd w:id="4"/>
    </w:p>
    <w:p w14:paraId="3AA38AFA">
      <w:pPr>
        <w:keepNext w:val="0"/>
        <w:keepLines w:val="0"/>
        <w:pageBreakBefore w:val="0"/>
        <w:widowControl w:val="0"/>
        <w:shd w:val="clear"/>
        <w:kinsoku/>
        <w:wordWrap/>
        <w:overflowPunct/>
        <w:topLinePunct w:val="0"/>
        <w:autoSpaceDE/>
        <w:autoSpaceDN/>
        <w:bidi w:val="0"/>
        <w:spacing w:line="360" w:lineRule="auto"/>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协议书；</w:t>
      </w:r>
    </w:p>
    <w:p w14:paraId="55BAFF7E">
      <w:pPr>
        <w:keepNext w:val="0"/>
        <w:keepLines w:val="0"/>
        <w:pageBreakBefore w:val="0"/>
        <w:widowControl w:val="0"/>
        <w:shd w:val="clear"/>
        <w:kinsoku/>
        <w:wordWrap/>
        <w:overflowPunct/>
        <w:topLinePunct w:val="0"/>
        <w:autoSpaceDE/>
        <w:autoSpaceDN/>
        <w:bidi w:val="0"/>
        <w:spacing w:line="360" w:lineRule="auto"/>
        <w:ind w:firstLine="415" w:firstLineChars="198"/>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中标通知书、投标文件、招标文件、澄清、招标补充文件；</w:t>
      </w:r>
    </w:p>
    <w:p w14:paraId="07CD117E">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相关服务建议书；</w:t>
      </w:r>
    </w:p>
    <w:p w14:paraId="7A131F7B">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bookmarkStart w:id="5" w:name="_Toc1597"/>
      <w:bookmarkStart w:id="6" w:name="_Toc26662"/>
      <w:r>
        <w:rPr>
          <w:rFonts w:hint="eastAsia" w:ascii="宋体" w:hAnsi="宋体" w:eastAsia="宋体" w:cs="宋体"/>
          <w:color w:val="auto"/>
          <w:sz w:val="21"/>
          <w:szCs w:val="21"/>
          <w:highlight w:val="none"/>
        </w:rPr>
        <w:t>本合同签订后，双方依法签订的补充协议也是本合同文件的组成部分。</w:t>
      </w:r>
    </w:p>
    <w:bookmarkEnd w:id="5"/>
    <w:bookmarkEnd w:id="6"/>
    <w:p w14:paraId="458F7957">
      <w:pPr>
        <w:pageBreakBefore w:val="0"/>
        <w:shd w:val="clear"/>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三、合同价款</w:t>
      </w:r>
    </w:p>
    <w:p w14:paraId="7D47329F">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合同形式：固定</w:t>
      </w:r>
      <w:r>
        <w:rPr>
          <w:rFonts w:hint="eastAsia" w:hAnsi="宋体" w:cs="宋体"/>
          <w:color w:val="auto"/>
          <w:sz w:val="21"/>
          <w:szCs w:val="21"/>
          <w:highlight w:val="none"/>
          <w:lang w:val="en-US" w:eastAsia="zh-CN"/>
        </w:rPr>
        <w:t>总价</w:t>
      </w:r>
      <w:r>
        <w:rPr>
          <w:rFonts w:hint="eastAsia" w:ascii="宋体" w:hAnsi="宋体" w:eastAsia="宋体" w:cs="宋体"/>
          <w:color w:val="auto"/>
          <w:sz w:val="21"/>
          <w:szCs w:val="21"/>
          <w:highlight w:val="none"/>
        </w:rPr>
        <w:t>合同</w:t>
      </w:r>
    </w:p>
    <w:p w14:paraId="1B2BABB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w:t>
      </w:r>
      <w:r>
        <w:rPr>
          <w:rFonts w:hint="eastAsia" w:ascii="宋体" w:hAnsi="宋体" w:eastAsia="宋体" w:cs="宋体"/>
          <w:color w:val="auto"/>
          <w:sz w:val="21"/>
          <w:szCs w:val="21"/>
          <w:highlight w:val="none"/>
          <w:lang w:eastAsia="zh-CN"/>
        </w:rPr>
        <w:t>总价</w:t>
      </w:r>
      <w:r>
        <w:rPr>
          <w:rFonts w:hint="eastAsia" w:ascii="宋体" w:hAnsi="宋体" w:eastAsia="宋体" w:cs="宋体"/>
          <w:bCs/>
          <w:color w:val="auto"/>
          <w:sz w:val="21"/>
          <w:szCs w:val="21"/>
          <w:highlight w:val="none"/>
        </w:rPr>
        <w:t>（大写）：</w:t>
      </w:r>
      <w:r>
        <w:rPr>
          <w:rFonts w:hint="eastAsia" w:ascii="宋体" w:hAnsi="宋体" w:eastAsia="宋体" w:cs="宋体"/>
          <w:b w:val="0"/>
          <w:bCs/>
          <w:color w:val="auto"/>
          <w:kern w:val="0"/>
          <w:sz w:val="21"/>
          <w:szCs w:val="21"/>
          <w:highlight w:val="none"/>
          <w:u w:val="single"/>
          <w:lang w:val="en-US" w:eastAsia="zh-CN"/>
        </w:rPr>
        <w:t xml:space="preserve">               </w:t>
      </w:r>
      <w:r>
        <w:rPr>
          <w:rFonts w:hint="eastAsia" w:ascii="宋体" w:hAnsi="宋体" w:eastAsia="宋体" w:cs="宋体"/>
          <w:bCs/>
          <w:color w:val="auto"/>
          <w:sz w:val="21"/>
          <w:szCs w:val="21"/>
          <w:highlight w:val="none"/>
        </w:rPr>
        <w:t>（小写）</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kern w:val="0"/>
          <w:sz w:val="21"/>
          <w:szCs w:val="21"/>
          <w:highlight w:val="none"/>
        </w:rPr>
        <w:t>¥</w:t>
      </w:r>
      <w:r>
        <w:rPr>
          <w:rFonts w:hint="eastAsia" w:ascii="宋体" w:hAnsi="宋体" w:eastAsia="宋体" w:cs="宋体"/>
          <w:b w:val="0"/>
          <w:bCs/>
          <w:color w:val="auto"/>
          <w:kern w:val="0"/>
          <w:sz w:val="21"/>
          <w:szCs w:val="21"/>
          <w:highlight w:val="none"/>
          <w:u w:val="single"/>
          <w:lang w:val="en-US" w:eastAsia="zh-CN"/>
        </w:rPr>
        <w:t xml:space="preserve">              </w:t>
      </w:r>
      <w:r>
        <w:rPr>
          <w:rFonts w:hint="eastAsia" w:ascii="宋体" w:hAnsi="宋体" w:eastAsia="宋体" w:cs="宋体"/>
          <w:bCs/>
          <w:color w:val="auto"/>
          <w:sz w:val="21"/>
          <w:szCs w:val="21"/>
          <w:highlight w:val="none"/>
        </w:rPr>
        <w:t>元</w:t>
      </w:r>
      <w:r>
        <w:rPr>
          <w:rFonts w:hint="eastAsia" w:ascii="宋体" w:hAnsi="宋体" w:eastAsia="宋体" w:cs="宋体"/>
          <w:bCs/>
          <w:color w:val="auto"/>
          <w:sz w:val="21"/>
          <w:szCs w:val="21"/>
          <w:highlight w:val="none"/>
          <w:lang w:eastAsia="zh-CN"/>
        </w:rPr>
        <w:t>。</w:t>
      </w:r>
    </w:p>
    <w:p w14:paraId="15B639F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w:t>
      </w:r>
      <w:r>
        <w:rPr>
          <w:rFonts w:hint="eastAsia" w:hAnsi="宋体" w:cs="宋体"/>
          <w:color w:val="auto"/>
          <w:sz w:val="21"/>
          <w:szCs w:val="21"/>
          <w:highlight w:val="none"/>
          <w:lang w:val="en-US" w:eastAsia="zh-CN"/>
        </w:rPr>
        <w:t>总价</w:t>
      </w:r>
      <w:r>
        <w:rPr>
          <w:rFonts w:hint="eastAsia" w:ascii="宋体" w:hAnsi="宋体" w:eastAsia="宋体" w:cs="宋体"/>
          <w:color w:val="auto"/>
          <w:sz w:val="21"/>
          <w:szCs w:val="21"/>
          <w:highlight w:val="none"/>
        </w:rPr>
        <w:t>为完成本项目所要求内容且验收合格的所有费用，供应商应在投标报价表中标明完成本次招标所要求内容且验收合格的所有费用,</w:t>
      </w:r>
      <w:r>
        <w:rPr>
          <w:rFonts w:hint="eastAsia" w:hAnsi="宋体" w:cs="宋体"/>
          <w:color w:val="auto"/>
          <w:sz w:val="21"/>
          <w:szCs w:val="21"/>
          <w:highlight w:val="none"/>
          <w:lang w:eastAsia="zh-CN"/>
        </w:rPr>
        <w:t>不限于包括但不限于人工费、管理费、编制费、交通费、税金</w:t>
      </w:r>
      <w:r>
        <w:rPr>
          <w:rFonts w:hint="eastAsia" w:ascii="宋体" w:hAnsi="宋体" w:eastAsia="宋体" w:cs="宋体"/>
          <w:color w:val="auto"/>
          <w:sz w:val="21"/>
          <w:szCs w:val="21"/>
          <w:highlight w:val="none"/>
          <w:lang w:eastAsia="zh-CN"/>
        </w:rPr>
        <w:t>等其他一切相关费用</w:t>
      </w:r>
      <w:r>
        <w:rPr>
          <w:rFonts w:hint="eastAsia" w:ascii="宋体" w:hAnsi="宋体" w:eastAsia="宋体" w:cs="宋体"/>
          <w:color w:val="auto"/>
          <w:sz w:val="21"/>
          <w:szCs w:val="21"/>
          <w:highlight w:val="none"/>
        </w:rPr>
        <w:t>。</w:t>
      </w:r>
    </w:p>
    <w:p w14:paraId="61726432">
      <w:pPr>
        <w:pStyle w:val="2"/>
        <w:pageBreakBefore w:val="0"/>
        <w:shd w:val="clear"/>
        <w:wordWrap/>
        <w:overflowPunct/>
        <w:topLinePunct w:val="0"/>
        <w:autoSpaceDE/>
        <w:autoSpaceDN/>
        <w:bidi w:val="0"/>
        <w:spacing w:after="0"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四、付款方式及付款依据</w:t>
      </w:r>
    </w:p>
    <w:p w14:paraId="2AC61937">
      <w:pPr>
        <w:pStyle w:val="2"/>
        <w:pageBreakBefore w:val="0"/>
        <w:shd w:val="clear"/>
        <w:wordWrap/>
        <w:overflowPunct/>
        <w:topLinePunct w:val="0"/>
        <w:autoSpaceDE/>
        <w:autoSpaceDN/>
        <w:bidi w:val="0"/>
        <w:spacing w:after="0"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付款方式：</w:t>
      </w:r>
      <w:r>
        <w:rPr>
          <w:rFonts w:hint="eastAsia" w:cs="宋体"/>
          <w:color w:val="auto"/>
          <w:kern w:val="0"/>
          <w:sz w:val="21"/>
          <w:szCs w:val="21"/>
          <w:highlight w:val="none"/>
          <w:lang w:eastAsia="zh-CN"/>
        </w:rPr>
        <w:t>服务期满，完成所有项目内容，提交成果，并经部、省审核通过后，支付合同总价的100.00%</w:t>
      </w:r>
      <w:r>
        <w:rPr>
          <w:rFonts w:hint="eastAsia" w:ascii="宋体" w:hAnsi="宋体" w:eastAsia="宋体" w:cs="宋体"/>
          <w:color w:val="auto"/>
          <w:kern w:val="0"/>
          <w:sz w:val="21"/>
          <w:szCs w:val="21"/>
          <w:highlight w:val="none"/>
        </w:rPr>
        <w:t>。</w:t>
      </w:r>
    </w:p>
    <w:p w14:paraId="6D493F7C">
      <w:pPr>
        <w:pStyle w:val="2"/>
        <w:pageBreakBefore w:val="0"/>
        <w:shd w:val="clear"/>
        <w:wordWrap/>
        <w:overflowPunct/>
        <w:topLinePunct w:val="0"/>
        <w:autoSpaceDE/>
        <w:autoSpaceDN/>
        <w:bidi w:val="0"/>
        <w:spacing w:after="0"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付款依据：付款前乙方及时向甲方开具等额增值税普通发票。</w:t>
      </w:r>
    </w:p>
    <w:p w14:paraId="30039BAE">
      <w:pPr>
        <w:pStyle w:val="2"/>
        <w:pageBreakBefore w:val="0"/>
        <w:shd w:val="clear"/>
        <w:wordWrap/>
        <w:overflowPunct/>
        <w:topLinePunct w:val="0"/>
        <w:autoSpaceDE/>
        <w:autoSpaceDN/>
        <w:bidi w:val="0"/>
        <w:spacing w:after="0" w:line="360" w:lineRule="auto"/>
        <w:ind w:firstLine="0" w:firstLineChars="0"/>
        <w:textAlignment w:val="auto"/>
        <w:rPr>
          <w:rFonts w:hint="default" w:ascii="宋体" w:hAnsi="宋体" w:eastAsia="宋体" w:cs="宋体"/>
          <w:b/>
          <w:color w:val="auto"/>
          <w:kern w:val="0"/>
          <w:sz w:val="21"/>
          <w:szCs w:val="21"/>
          <w:highlight w:val="none"/>
          <w:lang w:val="en-US" w:eastAsia="zh-CN"/>
        </w:rPr>
      </w:pPr>
      <w:r>
        <w:rPr>
          <w:rFonts w:hint="eastAsia" w:ascii="宋体" w:hAnsi="宋体" w:eastAsia="宋体" w:cs="宋体"/>
          <w:b/>
          <w:color w:val="auto"/>
          <w:kern w:val="0"/>
          <w:sz w:val="21"/>
          <w:szCs w:val="21"/>
          <w:highlight w:val="none"/>
        </w:rPr>
        <w:t>五、服务</w:t>
      </w:r>
      <w:r>
        <w:rPr>
          <w:rFonts w:hint="eastAsia" w:ascii="宋体" w:hAnsi="宋体" w:cs="宋体"/>
          <w:b/>
          <w:color w:val="auto"/>
          <w:kern w:val="0"/>
          <w:sz w:val="21"/>
          <w:szCs w:val="21"/>
          <w:highlight w:val="none"/>
          <w:lang w:val="en-US" w:eastAsia="zh-CN"/>
        </w:rPr>
        <w:t>质量：</w:t>
      </w:r>
      <w:r>
        <w:rPr>
          <w:rFonts w:hint="eastAsia" w:ascii="宋体" w:hAnsi="宋体" w:eastAsia="宋体" w:cs="宋体"/>
          <w:color w:val="auto"/>
          <w:kern w:val="0"/>
          <w:sz w:val="21"/>
          <w:szCs w:val="21"/>
          <w:highlight w:val="none"/>
          <w:lang w:val="en-US" w:eastAsia="zh-CN"/>
        </w:rPr>
        <w:t>合格</w:t>
      </w:r>
      <w:r>
        <w:rPr>
          <w:rFonts w:hint="eastAsia" w:ascii="宋体" w:hAnsi="宋体" w:cs="宋体"/>
          <w:color w:val="auto"/>
          <w:kern w:val="0"/>
          <w:sz w:val="21"/>
          <w:szCs w:val="21"/>
          <w:highlight w:val="none"/>
          <w:lang w:val="en-US" w:eastAsia="zh-CN"/>
        </w:rPr>
        <w:t>。</w:t>
      </w:r>
    </w:p>
    <w:p w14:paraId="4D505854">
      <w:pPr>
        <w:pStyle w:val="2"/>
        <w:pageBreakBefore w:val="0"/>
        <w:shd w:val="clear"/>
        <w:wordWrap/>
        <w:overflowPunct/>
        <w:topLinePunct w:val="0"/>
        <w:autoSpaceDE/>
        <w:autoSpaceDN/>
        <w:bidi w:val="0"/>
        <w:spacing w:after="0" w:line="360" w:lineRule="auto"/>
        <w:ind w:firstLine="0" w:firstLineChars="0"/>
        <w:textAlignment w:val="auto"/>
        <w:rPr>
          <w:rFonts w:hint="default" w:ascii="宋体" w:hAnsi="宋体" w:eastAsia="宋体" w:cs="宋体"/>
          <w:b/>
          <w:bCs w:val="0"/>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rPr>
        <w:t>六、</w:t>
      </w:r>
      <w:r>
        <w:rPr>
          <w:rFonts w:hint="eastAsia" w:ascii="宋体" w:hAnsi="宋体" w:eastAsia="宋体" w:cs="宋体"/>
          <w:b/>
          <w:bCs w:val="0"/>
          <w:color w:val="auto"/>
          <w:kern w:val="0"/>
          <w:sz w:val="21"/>
          <w:szCs w:val="21"/>
          <w:highlight w:val="none"/>
          <w:lang w:val="en-US" w:eastAsia="zh-CN"/>
        </w:rPr>
        <w:t>服务内容及要求</w:t>
      </w:r>
    </w:p>
    <w:p w14:paraId="64E6F70E">
      <w:pPr>
        <w:pStyle w:val="2"/>
        <w:pageBreakBefore w:val="0"/>
        <w:kinsoku/>
        <w:wordWrap/>
        <w:overflowPunct/>
        <w:topLinePunct w:val="0"/>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en-US"/>
        </w:rPr>
      </w:pP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lang w:val="en-US" w:eastAsia="en-US"/>
        </w:rPr>
        <w:t>调查分析拟纳入《目录》开发区开发建设状况、土地批准和供应状况和整合优化范围划定和规模确定。</w:t>
      </w:r>
    </w:p>
    <w:p w14:paraId="3078D0EA">
      <w:pPr>
        <w:pStyle w:val="2"/>
        <w:pageBreakBefore w:val="0"/>
        <w:kinsoku/>
        <w:wordWrap/>
        <w:overflowPunct/>
        <w:topLinePunct w:val="0"/>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en-US"/>
        </w:rPr>
      </w:pPr>
      <w:r>
        <w:rPr>
          <w:rFonts w:hint="eastAsia" w:ascii="宋体" w:hAnsi="宋体" w:eastAsia="宋体" w:cs="宋体"/>
          <w:color w:val="auto"/>
          <w:sz w:val="21"/>
          <w:szCs w:val="21"/>
          <w:highlight w:val="none"/>
          <w:lang w:val="en-US" w:eastAsia="zh-CN"/>
        </w:rPr>
        <w:t>（二）</w:t>
      </w:r>
      <w:r>
        <w:rPr>
          <w:rFonts w:hint="eastAsia" w:ascii="宋体" w:hAnsi="宋体" w:eastAsia="宋体" w:cs="宋体"/>
          <w:color w:val="auto"/>
          <w:sz w:val="21"/>
          <w:szCs w:val="21"/>
          <w:highlight w:val="none"/>
          <w:lang w:val="en-US" w:eastAsia="en-US"/>
        </w:rPr>
        <w:t>调查分析西安浐灞国际港、西安综合保税区基本情况、土地规划状况、土地开发建设状况、土地批准供应状况、低效仓储用地情况、发展空间情况。</w:t>
      </w:r>
    </w:p>
    <w:p w14:paraId="47D50C2F">
      <w:pPr>
        <w:pStyle w:val="2"/>
        <w:pageBreakBefore w:val="0"/>
        <w:kinsoku/>
        <w:wordWrap/>
        <w:overflowPunct/>
        <w:topLinePunct w:val="0"/>
        <w:bidi w:val="0"/>
        <w:adjustRightInd/>
        <w:snapToGrid/>
        <w:spacing w:line="360" w:lineRule="auto"/>
        <w:ind w:left="0" w:leftChars="0" w:firstLine="420" w:firstLineChars="200"/>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lang w:val="en-US" w:eastAsia="en-US"/>
        </w:rPr>
        <w:t>根据陕西省商务厅《关于做好〈中国开发区审核公告目录（2018年版）〉修订工作的通知》要求，编制用地情况报告，</w:t>
      </w:r>
      <w:r>
        <w:rPr>
          <w:rFonts w:hint="eastAsia" w:cs="宋体"/>
          <w:color w:val="auto"/>
          <w:sz w:val="21"/>
          <w:szCs w:val="21"/>
          <w:highlight w:val="none"/>
          <w:lang w:val="en-US" w:eastAsia="zh-CN"/>
        </w:rPr>
        <w:t>并配合采购人完成市局、省厅相关技术审核</w:t>
      </w:r>
      <w:r>
        <w:rPr>
          <w:rFonts w:hint="eastAsia" w:ascii="宋体" w:hAnsi="宋体" w:eastAsia="宋体" w:cs="宋体"/>
          <w:color w:val="auto"/>
          <w:sz w:val="21"/>
          <w:szCs w:val="21"/>
          <w:highlight w:val="none"/>
          <w:lang w:val="en-US" w:eastAsia="en-US"/>
        </w:rPr>
        <w:t>。</w:t>
      </w:r>
    </w:p>
    <w:p w14:paraId="50D8DC06">
      <w:pPr>
        <w:pageBreakBefore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七、技术要求</w:t>
      </w:r>
    </w:p>
    <w:p w14:paraId="7D48DDF2">
      <w:pPr>
        <w:pStyle w:val="2"/>
        <w:pageBreakBefore w:val="0"/>
        <w:kinsoku/>
        <w:wordWrap/>
        <w:overflowPunct/>
        <w:topLinePunct w:val="0"/>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项目成果符合部省工作要求。</w:t>
      </w:r>
    </w:p>
    <w:p w14:paraId="33B25011">
      <w:pPr>
        <w:pageBreakBefore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八、成果交付要求</w:t>
      </w:r>
    </w:p>
    <w:p w14:paraId="04C10945">
      <w:pPr>
        <w:pStyle w:val="2"/>
        <w:pageBreakBefore w:val="0"/>
        <w:kinsoku/>
        <w:wordWrap/>
        <w:overflowPunct/>
        <w:topLinePunct w:val="0"/>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1.成果内容要求：包括表格数据、空间数据成果、图件成果、文本成果以及证明材料。</w:t>
      </w:r>
    </w:p>
    <w:p w14:paraId="21236448">
      <w:pPr>
        <w:pStyle w:val="2"/>
        <w:pageBreakBefore w:val="0"/>
        <w:kinsoku/>
        <w:wordWrap/>
        <w:overflowPunct/>
        <w:topLinePunct w:val="0"/>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2.成果数量要求：纸质成果2份，电子版成果U盘2份。</w:t>
      </w:r>
    </w:p>
    <w:p w14:paraId="42FAF8F4">
      <w:pPr>
        <w:pStyle w:val="2"/>
        <w:pageBreakBefore w:val="0"/>
        <w:kinsoku/>
        <w:wordWrap/>
        <w:overflowPunct/>
        <w:topLinePunct w:val="0"/>
        <w:bidi w:val="0"/>
        <w:adjustRightInd/>
        <w:snapToGrid/>
        <w:spacing w:line="360" w:lineRule="auto"/>
        <w:ind w:left="0" w:leftChars="0" w:firstLine="422" w:firstLineChars="200"/>
        <w:jc w:val="left"/>
        <w:textAlignment w:val="auto"/>
        <w:rPr>
          <w:rFonts w:hint="eastAsia" w:ascii="宋体" w:hAnsi="宋体" w:eastAsia="宋体" w:cs="宋体"/>
          <w:b/>
          <w:bCs/>
          <w:color w:val="auto"/>
          <w:sz w:val="21"/>
          <w:szCs w:val="21"/>
          <w:highlight w:val="none"/>
          <w:lang w:val="en-US" w:eastAsia="zh-CN" w:bidi="ar-SA"/>
        </w:rPr>
      </w:pPr>
      <w:r>
        <w:rPr>
          <w:rFonts w:hint="eastAsia" w:ascii="宋体" w:hAnsi="宋体" w:eastAsia="宋体" w:cs="宋体"/>
          <w:b/>
          <w:bCs/>
          <w:color w:val="auto"/>
          <w:sz w:val="21"/>
          <w:szCs w:val="21"/>
          <w:highlight w:val="none"/>
          <w:lang w:val="en-US" w:eastAsia="zh-CN" w:bidi="ar-SA"/>
        </w:rPr>
        <w:t>九、工作依据</w:t>
      </w:r>
    </w:p>
    <w:p w14:paraId="669707DC">
      <w:pPr>
        <w:pStyle w:val="6"/>
        <w:spacing w:line="360" w:lineRule="auto"/>
        <w:ind w:firstLine="420" w:firstLineChars="200"/>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1.陕西省自然资源厅《关于做好〈中国开发区审核公告目录（2018年版）〉修订工作的通知》（陕自然资用发〔2024〕1234号）</w:t>
      </w:r>
      <w:r>
        <w:rPr>
          <w:rFonts w:hint="eastAsia" w:ascii="宋体" w:hAnsi="宋体" w:eastAsia="宋体" w:cs="宋体"/>
          <w:color w:val="auto"/>
          <w:sz w:val="21"/>
          <w:szCs w:val="21"/>
          <w:highlight w:val="none"/>
          <w:lang w:val="en-US" w:eastAsia="zh-CN"/>
        </w:rPr>
        <w:t>及附件《开发区整合优化范围划定技术方案》。</w:t>
      </w:r>
    </w:p>
    <w:p w14:paraId="2150B5E3">
      <w:pPr>
        <w:pStyle w:val="6"/>
        <w:spacing w:line="360" w:lineRule="auto"/>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2.陕西省自然资源厅办公室《关于开展产业园区用地调查工作的通知》（陕自然资办函〔2025〕87号）及</w:t>
      </w:r>
      <w:r>
        <w:rPr>
          <w:rFonts w:hint="eastAsia" w:ascii="宋体" w:hAnsi="宋体" w:eastAsia="宋体" w:cs="宋体"/>
          <w:color w:val="auto"/>
          <w:sz w:val="21"/>
          <w:szCs w:val="21"/>
          <w:highlight w:val="none"/>
          <w:lang w:val="en-US" w:eastAsia="zh-CN"/>
        </w:rPr>
        <w:t>附件《产业园区用地调查技术方案》。</w:t>
      </w:r>
    </w:p>
    <w:p w14:paraId="090C03FA">
      <w:pPr>
        <w:pStyle w:val="2"/>
        <w:pageBreakBefore w:val="0"/>
        <w:kinsoku/>
        <w:wordWrap/>
        <w:overflowPunct/>
        <w:topLinePunct w:val="0"/>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highlight w:val="green"/>
          <w:lang w:val="en-US" w:eastAsia="zh-CN"/>
        </w:rPr>
      </w:pPr>
      <w:r>
        <w:rPr>
          <w:rFonts w:hint="eastAsia" w:ascii="宋体" w:hAnsi="宋体" w:eastAsia="宋体" w:cs="宋体"/>
          <w:color w:val="auto"/>
          <w:sz w:val="21"/>
          <w:szCs w:val="21"/>
          <w:highlight w:val="none"/>
          <w:lang w:val="en-US" w:eastAsia="zh-CN" w:bidi="ar-SA"/>
        </w:rPr>
        <w:t>3.陕西省自然资源厅办公室《关于印发〈开发区用地审核规范〉的通知》（陕自然资办函〔2020〕38号）</w:t>
      </w:r>
      <w:r>
        <w:rPr>
          <w:rFonts w:hint="eastAsia" w:cs="宋体"/>
          <w:color w:val="auto"/>
          <w:sz w:val="21"/>
          <w:szCs w:val="21"/>
          <w:highlight w:val="none"/>
          <w:lang w:val="en-US" w:eastAsia="zh-CN" w:bidi="ar-SA"/>
        </w:rPr>
        <w:t>。</w:t>
      </w:r>
    </w:p>
    <w:p w14:paraId="2C2D3E06">
      <w:pPr>
        <w:pStyle w:val="2"/>
        <w:pageBreakBefore w:val="0"/>
        <w:shd w:val="clear"/>
        <w:wordWrap/>
        <w:overflowPunct/>
        <w:topLinePunct w:val="0"/>
        <w:autoSpaceDE/>
        <w:autoSpaceDN/>
        <w:bidi w:val="0"/>
        <w:spacing w:after="0" w:line="360" w:lineRule="auto"/>
        <w:ind w:firstLine="0" w:firstLineChars="0"/>
        <w:textAlignment w:val="auto"/>
        <w:rPr>
          <w:rFonts w:hint="eastAsia" w:ascii="宋体" w:hAnsi="宋体" w:eastAsia="宋体" w:cs="宋体"/>
          <w:b/>
          <w:color w:val="auto"/>
          <w:kern w:val="0"/>
          <w:sz w:val="21"/>
          <w:szCs w:val="21"/>
          <w:highlight w:val="none"/>
        </w:rPr>
      </w:pPr>
      <w:r>
        <w:rPr>
          <w:rFonts w:hint="eastAsia" w:cs="宋体"/>
          <w:b/>
          <w:color w:val="auto"/>
          <w:kern w:val="0"/>
          <w:sz w:val="21"/>
          <w:szCs w:val="21"/>
          <w:highlight w:val="none"/>
          <w:lang w:val="en-US" w:eastAsia="zh-CN"/>
        </w:rPr>
        <w:t>十</w:t>
      </w:r>
      <w:r>
        <w:rPr>
          <w:rFonts w:hint="eastAsia" w:ascii="宋体" w:hAnsi="宋体" w:eastAsia="宋体" w:cs="宋体"/>
          <w:b/>
          <w:color w:val="auto"/>
          <w:kern w:val="0"/>
          <w:sz w:val="21"/>
          <w:szCs w:val="21"/>
          <w:highlight w:val="none"/>
          <w:lang w:val="en-US" w:eastAsia="zh-CN"/>
        </w:rPr>
        <w:t>、</w:t>
      </w:r>
      <w:r>
        <w:rPr>
          <w:rFonts w:hint="eastAsia" w:ascii="宋体" w:hAnsi="宋体" w:eastAsia="宋体" w:cs="宋体"/>
          <w:b/>
          <w:color w:val="auto"/>
          <w:kern w:val="0"/>
          <w:sz w:val="21"/>
          <w:szCs w:val="21"/>
          <w:highlight w:val="none"/>
        </w:rPr>
        <w:t>甲方的权利与义务</w:t>
      </w:r>
    </w:p>
    <w:p w14:paraId="79134539">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r>
        <w:rPr>
          <w:rFonts w:hint="eastAsia" w:ascii="宋体" w:hAnsi="宋体" w:eastAsia="宋体" w:cs="宋体"/>
          <w:b w:val="0"/>
          <w:bCs/>
          <w:color w:val="auto"/>
          <w:sz w:val="21"/>
          <w:szCs w:val="21"/>
          <w:highlight w:val="none"/>
          <w:lang w:eastAsia="zh-CN"/>
        </w:rPr>
        <w:t>、甲方有权对合同规定范围内乙方的服务行为进行监督和检查，拥有监管权。甲方认为不合理的部分有权下达整改通知书，并要求乙方限期整改</w:t>
      </w:r>
      <w:r>
        <w:rPr>
          <w:rFonts w:hint="eastAsia" w:ascii="宋体" w:hAnsi="宋体" w:eastAsia="宋体" w:cs="宋体"/>
          <w:b w:val="0"/>
          <w:bCs/>
          <w:color w:val="auto"/>
          <w:sz w:val="21"/>
          <w:szCs w:val="21"/>
          <w:highlight w:val="none"/>
        </w:rPr>
        <w:t>。</w:t>
      </w:r>
    </w:p>
    <w:p w14:paraId="7FD3920F">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甲方有权定期核实乙方的工作，监督检查工作质量。</w:t>
      </w:r>
    </w:p>
    <w:p w14:paraId="4A565028">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按本合同规定的内容，在规定的时间内向乙方提交基础资料及文件，并对其完整性、正确性、及时性负责。</w:t>
      </w:r>
    </w:p>
    <w:p w14:paraId="0F9FF406">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需负责与相关部门的对接工作；</w:t>
      </w:r>
    </w:p>
    <w:p w14:paraId="0E07021F">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甲方有权确定</w:t>
      </w:r>
      <w:r>
        <w:rPr>
          <w:rFonts w:hint="eastAsia" w:hAnsi="宋体" w:cs="宋体"/>
          <w:b w:val="0"/>
          <w:bCs/>
          <w:color w:val="auto"/>
          <w:sz w:val="21"/>
          <w:szCs w:val="21"/>
          <w:highlight w:val="none"/>
          <w:lang w:val="en-US" w:eastAsia="zh-CN"/>
        </w:rPr>
        <w:t>工作</w:t>
      </w:r>
      <w:r>
        <w:rPr>
          <w:rFonts w:hint="eastAsia" w:ascii="宋体" w:hAnsi="宋体" w:eastAsia="宋体" w:cs="宋体"/>
          <w:b w:val="0"/>
          <w:bCs/>
          <w:color w:val="auto"/>
          <w:sz w:val="21"/>
          <w:szCs w:val="21"/>
          <w:highlight w:val="none"/>
        </w:rPr>
        <w:t>人数配置。乙方须按照甲方核定人数及标准开展相关工作。</w:t>
      </w:r>
    </w:p>
    <w:p w14:paraId="41F4E12B">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cs="宋体"/>
          <w:b w:val="0"/>
          <w:bCs/>
          <w:color w:val="auto"/>
          <w:sz w:val="21"/>
          <w:szCs w:val="21"/>
          <w:highlight w:val="none"/>
          <w:lang w:val="en-US" w:eastAsia="zh-CN"/>
        </w:rPr>
        <w:t>6</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按期支付服务费用给乙方。</w:t>
      </w:r>
    </w:p>
    <w:p w14:paraId="680575C4">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cs="宋体"/>
          <w:b/>
          <w:color w:val="auto"/>
          <w:sz w:val="21"/>
          <w:szCs w:val="21"/>
          <w:highlight w:val="none"/>
          <w:lang w:val="en-US" w:eastAsia="zh-CN"/>
        </w:rPr>
        <w:t>一</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乙方的权利与义务</w:t>
      </w:r>
    </w:p>
    <w:p w14:paraId="767DA57A">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eastAsia="zh-CN"/>
        </w:rPr>
        <w:t>1、乙方应按国家相应技术规范、标准、规程及合同约定的各项要求，进行相关工作，按合同规定的进度要求提交质量合格的成果文件，并对其负责。</w:t>
      </w:r>
    </w:p>
    <w:p w14:paraId="2C7EB7E4">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eastAsia="zh-CN"/>
        </w:rPr>
        <w:t>2、乙方按本合同规定的内容、进度向甲方提交成果文件，并根据审查结论对不超出原定范围的内容做必要调整补充。</w:t>
      </w:r>
    </w:p>
    <w:p w14:paraId="0C1AB49F">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eastAsia="zh-CN"/>
        </w:rPr>
        <w:t>3、乙方应做好质量与技术管理工作，加强全过程的质量控制，保证项目内容的合理性。</w:t>
      </w:r>
    </w:p>
    <w:p w14:paraId="67C7405B">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eastAsia="zh-CN"/>
        </w:rPr>
        <w:t>4、对甲方的各种技术资料做好保密工作，未经甲方许可不得向任何单位和个人泄露。</w:t>
      </w:r>
    </w:p>
    <w:p w14:paraId="6C29AD1A">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lang w:eastAsia="zh-CN"/>
        </w:rPr>
        <w:t>按照合同规定的期限完成工作任务向甲方提交成果资料。</w:t>
      </w:r>
    </w:p>
    <w:p w14:paraId="2315D9F7">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cs="宋体"/>
          <w:b/>
          <w:color w:val="auto"/>
          <w:sz w:val="21"/>
          <w:szCs w:val="21"/>
          <w:highlight w:val="none"/>
          <w:lang w:val="en-US" w:eastAsia="zh-CN"/>
        </w:rPr>
        <w:t>二</w:t>
      </w:r>
      <w:r>
        <w:rPr>
          <w:rFonts w:hint="eastAsia" w:ascii="宋体" w:hAnsi="宋体" w:eastAsia="宋体" w:cs="宋体"/>
          <w:b/>
          <w:color w:val="auto"/>
          <w:sz w:val="21"/>
          <w:szCs w:val="21"/>
          <w:highlight w:val="none"/>
        </w:rPr>
        <w:t>、验收</w:t>
      </w:r>
    </w:p>
    <w:p w14:paraId="53B44242">
      <w:pPr>
        <w:pageBreakBefore w:val="0"/>
        <w:shd w:val="clear"/>
        <w:wordWrap/>
        <w:overflowPunct/>
        <w:topLinePunct w:val="0"/>
        <w:autoSpaceDE/>
        <w:autoSpaceDN/>
        <w:bidi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招标文件、投标文件、澄清表（函）；</w:t>
      </w:r>
    </w:p>
    <w:p w14:paraId="535BE808">
      <w:pPr>
        <w:pageBreakBefore w:val="0"/>
        <w:shd w:val="clear"/>
        <w:wordWrap/>
        <w:overflowPunct/>
        <w:topLinePunct w:val="0"/>
        <w:autoSpaceDE/>
        <w:autoSpaceDN/>
        <w:bidi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本合同及附件文本；</w:t>
      </w:r>
    </w:p>
    <w:p w14:paraId="4C509E4A">
      <w:pPr>
        <w:pageBreakBefore w:val="0"/>
        <w:shd w:val="clear"/>
        <w:wordWrap/>
        <w:overflowPunct/>
        <w:topLinePunct w:val="0"/>
        <w:autoSpaceDE/>
        <w:autoSpaceDN/>
        <w:bidi w:val="0"/>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r>
        <w:rPr>
          <w:rFonts w:hint="eastAsia" w:hAnsi="宋体" w:cs="宋体"/>
          <w:bCs/>
          <w:color w:val="auto"/>
          <w:sz w:val="21"/>
          <w:szCs w:val="21"/>
          <w:highlight w:val="none"/>
          <w:lang w:eastAsia="zh-CN"/>
        </w:rPr>
        <w:t>、</w:t>
      </w:r>
      <w:r>
        <w:rPr>
          <w:rFonts w:hint="eastAsia" w:ascii="宋体" w:hAnsi="宋体" w:eastAsia="宋体" w:cs="宋体"/>
          <w:bCs/>
          <w:color w:val="auto"/>
          <w:sz w:val="21"/>
          <w:szCs w:val="21"/>
          <w:highlight w:val="none"/>
        </w:rPr>
        <w:t>国家相应的标准、规范。</w:t>
      </w:r>
    </w:p>
    <w:p w14:paraId="3477B459">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十</w:t>
      </w:r>
      <w:r>
        <w:rPr>
          <w:rFonts w:hint="eastAsia" w:cs="宋体"/>
          <w:b/>
          <w:bCs/>
          <w:color w:val="auto"/>
          <w:sz w:val="21"/>
          <w:szCs w:val="21"/>
          <w:highlight w:val="none"/>
          <w:lang w:val="en-US" w:eastAsia="zh-CN"/>
        </w:rPr>
        <w:t>三</w:t>
      </w:r>
      <w:r>
        <w:rPr>
          <w:rFonts w:hint="eastAsia" w:ascii="宋体" w:hAnsi="宋体" w:eastAsia="宋体" w:cs="宋体"/>
          <w:b/>
          <w:bCs/>
          <w:color w:val="auto"/>
          <w:sz w:val="21"/>
          <w:szCs w:val="21"/>
          <w:highlight w:val="none"/>
          <w:lang w:eastAsia="zh-CN"/>
        </w:rPr>
        <w:t>、违约责任</w:t>
      </w:r>
    </w:p>
    <w:p w14:paraId="6047BAF3">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Cs/>
          <w:color w:val="auto"/>
          <w:sz w:val="21"/>
          <w:szCs w:val="21"/>
          <w:highlight w:val="none"/>
        </w:rPr>
        <w:t>1</w:t>
      </w:r>
      <w:r>
        <w:rPr>
          <w:rFonts w:hint="eastAsia" w:hAnsi="宋体" w:cs="宋体"/>
          <w:bCs/>
          <w:color w:val="auto"/>
          <w:sz w:val="21"/>
          <w:szCs w:val="21"/>
          <w:highlight w:val="none"/>
          <w:lang w:eastAsia="zh-CN"/>
        </w:rPr>
        <w:t>、</w:t>
      </w:r>
      <w:r>
        <w:rPr>
          <w:rFonts w:hint="eastAsia" w:ascii="宋体" w:hAnsi="宋体" w:eastAsia="宋体" w:cs="宋体"/>
          <w:b w:val="0"/>
          <w:bCs w:val="0"/>
          <w:color w:val="auto"/>
          <w:sz w:val="21"/>
          <w:szCs w:val="21"/>
          <w:highlight w:val="none"/>
          <w:lang w:eastAsia="zh-CN"/>
        </w:rPr>
        <w:t>按《中华人民共和国政府采购法》、《中华人民共和国民法典》中的相关条款执行。</w:t>
      </w:r>
    </w:p>
    <w:p w14:paraId="25444DC6">
      <w:pPr>
        <w:pageBreakBefore w:val="0"/>
        <w:shd w:val="clear"/>
        <w:wordWrap/>
        <w:overflowPunct/>
        <w:topLinePunct w:val="0"/>
        <w:autoSpaceDE/>
        <w:autoSpaceDN/>
        <w:bidi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hAnsi="宋体" w:cs="宋体"/>
          <w:bCs/>
          <w:color w:val="auto"/>
          <w:sz w:val="21"/>
          <w:szCs w:val="21"/>
          <w:highlight w:val="none"/>
          <w:lang w:val="en-US" w:eastAsia="zh-CN"/>
        </w:rPr>
        <w:t>2</w:t>
      </w:r>
      <w:r>
        <w:rPr>
          <w:rFonts w:hint="eastAsia" w:hAnsi="宋体" w:cs="宋体"/>
          <w:bCs/>
          <w:color w:val="auto"/>
          <w:sz w:val="21"/>
          <w:szCs w:val="21"/>
          <w:highlight w:val="none"/>
          <w:lang w:eastAsia="zh-CN"/>
        </w:rPr>
        <w:t>、</w:t>
      </w:r>
      <w:r>
        <w:rPr>
          <w:rFonts w:hint="eastAsia" w:ascii="宋体" w:hAnsi="宋体" w:eastAsia="宋体" w:cs="宋体"/>
          <w:b w:val="0"/>
          <w:bCs w:val="0"/>
          <w:color w:val="auto"/>
          <w:sz w:val="21"/>
          <w:szCs w:val="21"/>
          <w:highlight w:val="none"/>
          <w:lang w:eastAsia="zh-CN"/>
        </w:rPr>
        <w:t>未按合同要求提供服务或服务质量不能满足本次项目要求，甲方有权终止合同和对乙方违约行为进</w:t>
      </w:r>
      <w:r>
        <w:rPr>
          <w:rFonts w:hint="eastAsia" w:ascii="宋体" w:hAnsi="宋体" w:eastAsia="宋体" w:cs="宋体"/>
          <w:b w:val="0"/>
          <w:bCs/>
          <w:color w:val="auto"/>
          <w:sz w:val="21"/>
          <w:szCs w:val="21"/>
          <w:highlight w:val="none"/>
          <w:lang w:eastAsia="zh-CN"/>
        </w:rPr>
        <w:t>行追究，同时按有关规定进行相应的处罚。</w:t>
      </w:r>
    </w:p>
    <w:p w14:paraId="01DBB0FF">
      <w:pPr>
        <w:pageBreakBefore w:val="0"/>
        <w:shd w:val="clear"/>
        <w:kinsoku/>
        <w:wordWrap/>
        <w:overflowPunct/>
        <w:topLinePunct w:val="0"/>
        <w:autoSpaceDE/>
        <w:autoSpaceDN/>
        <w:bidi w:val="0"/>
        <w:adjustRightInd/>
        <w:snapToGrid/>
        <w:spacing w:before="0" w:after="0" w:line="360" w:lineRule="auto"/>
        <w:ind w:left="0"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rPr>
        <w:t>十</w:t>
      </w:r>
      <w:r>
        <w:rPr>
          <w:rFonts w:hint="eastAsia" w:cs="宋体"/>
          <w:b/>
          <w:bCs/>
          <w:color w:val="auto"/>
          <w:kern w:val="0"/>
          <w:sz w:val="21"/>
          <w:szCs w:val="21"/>
          <w:highlight w:val="none"/>
          <w:lang w:val="en-US" w:eastAsia="zh-CN"/>
        </w:rPr>
        <w:t>四</w:t>
      </w:r>
      <w:r>
        <w:rPr>
          <w:rFonts w:hint="eastAsia" w:ascii="宋体" w:hAnsi="宋体" w:eastAsia="宋体" w:cs="宋体"/>
          <w:b/>
          <w:bCs/>
          <w:color w:val="auto"/>
          <w:kern w:val="0"/>
          <w:sz w:val="21"/>
          <w:szCs w:val="21"/>
          <w:highlight w:val="none"/>
        </w:rPr>
        <w:t>、</w:t>
      </w:r>
      <w:r>
        <w:rPr>
          <w:rFonts w:hint="eastAsia" w:ascii="宋体" w:hAnsi="宋体" w:eastAsia="宋体" w:cs="宋体"/>
          <w:b/>
          <w:bCs/>
          <w:color w:val="auto"/>
          <w:sz w:val="21"/>
          <w:szCs w:val="21"/>
          <w:highlight w:val="none"/>
        </w:rPr>
        <w:t>保密条款</w:t>
      </w:r>
    </w:p>
    <w:p w14:paraId="68472FD8">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双方承诺，除非法律另有规定或双方一致同意，任何一方不得将本协议的内容向第三方透露，否则，应向对方承担相应的违约责任。</w:t>
      </w:r>
    </w:p>
    <w:p w14:paraId="47FA1273">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双方同意在本协议期限内或之后，只为本协议目的而使用属于对方的保密资料，在未得到对方书面同意之前，不将对方的保密资料披露给第三方，以及如果披露方要求，接受方应立即将任何被要求退还的保密资料退还给披露方。</w:t>
      </w:r>
    </w:p>
    <w:p w14:paraId="6B76CF9A">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本协议中，保密资料是指任何一方所有的与披露方现有的潜在的业务、运营或财务状况直接或间接有关的书面、演示、电子、或其他形式的资料（包括：价格、市场营销计划、客户名单、相关数据等），但不包括以下资料：为公众所知的；接受方通过没有保密义务的独立渠道合法获得的资料；接受方在本协议保密条款签订之前已经知道的资料；因法律行为（包括诉讼、仲裁等行为）和执行国家政策的需要进行披露的资料。</w:t>
      </w:r>
    </w:p>
    <w:p w14:paraId="5960C3F0">
      <w:pPr>
        <w:pStyle w:val="2"/>
        <w:pageBreakBefore w:val="0"/>
        <w:shd w:val="clear"/>
        <w:kinsoku/>
        <w:wordWrap/>
        <w:overflowPunct/>
        <w:topLinePunct w:val="0"/>
        <w:autoSpaceDE/>
        <w:autoSpaceDN/>
        <w:bidi w:val="0"/>
        <w:adjustRightInd/>
        <w:snapToGrid/>
        <w:spacing w:after="0"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val="en-US" w:eastAsia="zh-CN"/>
        </w:rPr>
        <w:t>十</w:t>
      </w:r>
      <w:r>
        <w:rPr>
          <w:rFonts w:hint="eastAsia" w:cs="宋体"/>
          <w:b/>
          <w:bCs/>
          <w:color w:val="auto"/>
          <w:kern w:val="0"/>
          <w:sz w:val="21"/>
          <w:szCs w:val="21"/>
          <w:highlight w:val="none"/>
          <w:lang w:val="en-US" w:eastAsia="zh-CN"/>
        </w:rPr>
        <w:t>五</w:t>
      </w:r>
      <w:r>
        <w:rPr>
          <w:rFonts w:hint="eastAsia" w:ascii="宋体" w:hAnsi="宋体" w:eastAsia="宋体" w:cs="宋体"/>
          <w:b/>
          <w:bCs/>
          <w:color w:val="auto"/>
          <w:kern w:val="0"/>
          <w:sz w:val="21"/>
          <w:szCs w:val="21"/>
          <w:highlight w:val="none"/>
          <w:lang w:val="en-US" w:eastAsia="zh-CN"/>
        </w:rPr>
        <w:t>、</w:t>
      </w:r>
      <w:r>
        <w:rPr>
          <w:rFonts w:hint="eastAsia" w:ascii="宋体" w:hAnsi="宋体" w:eastAsia="宋体" w:cs="宋体"/>
          <w:b/>
          <w:bCs/>
          <w:color w:val="auto"/>
          <w:kern w:val="0"/>
          <w:sz w:val="21"/>
          <w:szCs w:val="21"/>
          <w:highlight w:val="none"/>
        </w:rPr>
        <w:t>政府采购合同履行</w:t>
      </w:r>
    </w:p>
    <w:p w14:paraId="0A92C9F9">
      <w:pPr>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bidi="ar"/>
        </w:rPr>
        <w:t>政府采购合同履行中，甲方需追加与合同标的相同服务的，在不改变合同其他条款的前提下，可以与乙方协商签订补充合同，但所有补充合同的采购金额不得超过原合同采购金额的百分之十。</w:t>
      </w:r>
    </w:p>
    <w:p w14:paraId="595205C5">
      <w:pPr>
        <w:pageBreakBefore w:val="0"/>
        <w:shd w:val="clear"/>
        <w:tabs>
          <w:tab w:val="left" w:pos="498"/>
        </w:tabs>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color w:val="auto"/>
          <w:sz w:val="21"/>
          <w:szCs w:val="21"/>
          <w:highlight w:val="none"/>
          <w:lang w:bidi="ar"/>
        </w:rPr>
      </w:pPr>
      <w:r>
        <w:rPr>
          <w:rFonts w:hint="eastAsia" w:ascii="宋体" w:hAnsi="宋体" w:eastAsia="宋体" w:cs="宋体"/>
          <w:b/>
          <w:color w:val="auto"/>
          <w:sz w:val="21"/>
          <w:szCs w:val="21"/>
          <w:highlight w:val="none"/>
          <w:lang w:bidi="ar"/>
        </w:rPr>
        <w:t>十</w:t>
      </w:r>
      <w:r>
        <w:rPr>
          <w:rFonts w:hint="eastAsia" w:cs="宋体"/>
          <w:b/>
          <w:color w:val="auto"/>
          <w:sz w:val="21"/>
          <w:szCs w:val="21"/>
          <w:highlight w:val="none"/>
          <w:lang w:val="en-US" w:eastAsia="zh-CN" w:bidi="ar"/>
        </w:rPr>
        <w:t>六</w:t>
      </w:r>
      <w:r>
        <w:rPr>
          <w:rFonts w:hint="eastAsia" w:ascii="宋体" w:hAnsi="宋体" w:eastAsia="宋体" w:cs="宋体"/>
          <w:b/>
          <w:color w:val="auto"/>
          <w:sz w:val="21"/>
          <w:szCs w:val="21"/>
          <w:highlight w:val="none"/>
          <w:lang w:bidi="ar"/>
        </w:rPr>
        <w:t>、合同争议的解决</w:t>
      </w:r>
    </w:p>
    <w:p w14:paraId="257597B8">
      <w:pPr>
        <w:pageBreakBefore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因本合同产生纠纷，如协商无法解决，双方均有权向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所在地人民法院提起诉讼。</w:t>
      </w:r>
    </w:p>
    <w:p w14:paraId="573EFBFA">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Cs/>
          <w:color w:val="auto"/>
          <w:sz w:val="21"/>
          <w:szCs w:val="21"/>
          <w:highlight w:val="none"/>
          <w:lang w:bidi="ar"/>
        </w:rPr>
      </w:pPr>
      <w:r>
        <w:rPr>
          <w:rFonts w:hint="eastAsia" w:ascii="宋体" w:hAnsi="宋体" w:eastAsia="宋体" w:cs="宋体"/>
          <w:b/>
          <w:color w:val="auto"/>
          <w:sz w:val="21"/>
          <w:szCs w:val="21"/>
          <w:highlight w:val="none"/>
          <w:lang w:bidi="ar"/>
        </w:rPr>
        <w:t>十</w:t>
      </w:r>
      <w:r>
        <w:rPr>
          <w:rFonts w:hint="eastAsia" w:cs="宋体"/>
          <w:b/>
          <w:color w:val="auto"/>
          <w:sz w:val="21"/>
          <w:szCs w:val="21"/>
          <w:highlight w:val="none"/>
          <w:lang w:val="en-US" w:eastAsia="zh-CN" w:bidi="ar"/>
        </w:rPr>
        <w:t>七</w:t>
      </w:r>
      <w:r>
        <w:rPr>
          <w:rFonts w:hint="eastAsia" w:ascii="宋体" w:hAnsi="宋体" w:eastAsia="宋体" w:cs="宋体"/>
          <w:b/>
          <w:color w:val="auto"/>
          <w:sz w:val="21"/>
          <w:szCs w:val="21"/>
          <w:highlight w:val="none"/>
          <w:lang w:bidi="ar"/>
        </w:rPr>
        <w:t>、其他</w:t>
      </w:r>
    </w:p>
    <w:p w14:paraId="4187B062">
      <w:pPr>
        <w:pageBreakBefore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bidi="ar"/>
        </w:rPr>
        <w:t>1、不可抗力情况下的免责约定，双方约定不可抗力情况包括：五级以上地震、大风、大雨、大雪。</w:t>
      </w:r>
    </w:p>
    <w:p w14:paraId="7B7426F9">
      <w:pPr>
        <w:pageBreakBefore w:val="0"/>
        <w:shd w:val="clear"/>
        <w:tabs>
          <w:tab w:val="left" w:pos="498"/>
        </w:tabs>
        <w:wordWrap/>
        <w:overflowPunct/>
        <w:topLinePunct w:val="0"/>
        <w:autoSpaceDE/>
        <w:autoSpaceDN/>
        <w:bidi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bidi="ar"/>
        </w:rPr>
        <w:t>2、除本合</w:t>
      </w:r>
      <w:r>
        <w:rPr>
          <w:rFonts w:hint="eastAsia" w:ascii="宋体" w:hAnsi="宋体" w:eastAsia="宋体" w:cs="宋体"/>
          <w:color w:val="auto"/>
          <w:sz w:val="21"/>
          <w:szCs w:val="21"/>
          <w:highlight w:val="none"/>
          <w:lang w:bidi="ar"/>
        </w:rPr>
        <w:t>同约定，合同一经签订，不得擅自变更、中止或者终止合同。对确需变更、调整或者中止、终止合同的，应按规定履行相应的手续。</w:t>
      </w:r>
    </w:p>
    <w:p w14:paraId="343CDA29">
      <w:pPr>
        <w:pageBreakBefore w:val="0"/>
        <w:shd w:val="clear"/>
        <w:wordWrap/>
        <w:overflowPunct/>
        <w:topLinePunct w:val="0"/>
        <w:autoSpaceDE/>
        <w:autoSpaceDN/>
        <w:bidi w:val="0"/>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bidi="ar"/>
        </w:rPr>
        <w:t>十</w:t>
      </w:r>
      <w:r>
        <w:rPr>
          <w:rFonts w:hint="eastAsia" w:cs="宋体"/>
          <w:b/>
          <w:color w:val="auto"/>
          <w:sz w:val="21"/>
          <w:szCs w:val="21"/>
          <w:highlight w:val="none"/>
          <w:lang w:val="en-US" w:eastAsia="zh-CN" w:bidi="ar"/>
        </w:rPr>
        <w:t>八</w:t>
      </w:r>
      <w:r>
        <w:rPr>
          <w:rFonts w:hint="eastAsia" w:ascii="宋体" w:hAnsi="宋体" w:eastAsia="宋体" w:cs="宋体"/>
          <w:b/>
          <w:color w:val="auto"/>
          <w:sz w:val="21"/>
          <w:szCs w:val="21"/>
          <w:highlight w:val="none"/>
          <w:lang w:bidi="ar"/>
        </w:rPr>
        <w:t>、合同订立</w:t>
      </w:r>
    </w:p>
    <w:p w14:paraId="2B23830B">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1</w:t>
      </w:r>
      <w:r>
        <w:rPr>
          <w:rFonts w:hint="eastAsia" w:hAnsi="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订立时间：</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年</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月</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日。</w:t>
      </w:r>
    </w:p>
    <w:p w14:paraId="3313ADC4">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2</w:t>
      </w:r>
      <w:r>
        <w:rPr>
          <w:rFonts w:hint="eastAsia" w:hAnsi="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订立地点：</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w:t>
      </w:r>
    </w:p>
    <w:p w14:paraId="7BFCA97F">
      <w:pPr>
        <w:pageBreakBefore w:val="0"/>
        <w:shd w:val="clear"/>
        <w:tabs>
          <w:tab w:val="left" w:pos="980"/>
        </w:tabs>
        <w:kinsoku w:val="0"/>
        <w:wordWrap/>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3</w:t>
      </w:r>
      <w:r>
        <w:rPr>
          <w:rFonts w:hint="eastAsia" w:hAnsi="宋体" w:cs="宋体"/>
          <w:color w:val="auto"/>
          <w:sz w:val="21"/>
          <w:szCs w:val="21"/>
          <w:highlight w:val="none"/>
          <w:lang w:eastAsia="zh-CN" w:bidi="ar"/>
        </w:rPr>
        <w:t>、</w:t>
      </w:r>
      <w:r>
        <w:rPr>
          <w:rFonts w:hint="eastAsia" w:ascii="宋体" w:hAnsi="宋体" w:eastAsia="宋体" w:cs="宋体"/>
          <w:color w:val="auto"/>
          <w:sz w:val="21"/>
          <w:szCs w:val="21"/>
          <w:highlight w:val="none"/>
        </w:rPr>
        <w:t>本合同自双方签字、盖章之日起生效。合同文本一式</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rPr>
        <w:t>份，甲、乙双方各执</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rPr>
        <w:t>份，具同等法律效力。</w:t>
      </w:r>
    </w:p>
    <w:p w14:paraId="63970AEA">
      <w:pPr>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br w:type="page"/>
      </w:r>
    </w:p>
    <w:p w14:paraId="53D5C246">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lang w:bidi="ar"/>
        </w:rPr>
      </w:pPr>
    </w:p>
    <w:p w14:paraId="73369AFC">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（以下无正文）</w:t>
      </w:r>
    </w:p>
    <w:p w14:paraId="6199C6CF">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bidi="ar"/>
        </w:rPr>
        <w:t>甲  方</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u w:val="single"/>
          <w:lang w:bidi="ar"/>
        </w:rPr>
        <w:t xml:space="preserve">   （盖章）         </w:t>
      </w:r>
      <w:r>
        <w:rPr>
          <w:rFonts w:hint="eastAsia" w:ascii="宋体" w:hAnsi="宋体" w:eastAsia="宋体" w:cs="宋体"/>
          <w:color w:val="auto"/>
          <w:sz w:val="21"/>
          <w:szCs w:val="21"/>
          <w:highlight w:val="none"/>
          <w:lang w:bidi="ar"/>
        </w:rPr>
        <w:t xml:space="preserve">      </w:t>
      </w:r>
      <w:r>
        <w:rPr>
          <w:rFonts w:hint="eastAsia" w:hAnsi="宋体" w:cs="宋体"/>
          <w:color w:val="auto"/>
          <w:sz w:val="21"/>
          <w:szCs w:val="21"/>
          <w:highlight w:val="none"/>
          <w:lang w:val="en-US" w:eastAsia="zh-CN" w:bidi="ar"/>
        </w:rPr>
        <w:t xml:space="preserve"> 乙  方</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u w:val="single"/>
          <w:lang w:bidi="ar"/>
        </w:rPr>
        <w:t xml:space="preserve">   （盖章）          </w:t>
      </w:r>
    </w:p>
    <w:p w14:paraId="35D302FA">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地  址：</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地  址：</w:t>
      </w:r>
      <w:r>
        <w:rPr>
          <w:rFonts w:hint="eastAsia" w:ascii="宋体" w:hAnsi="宋体" w:eastAsia="宋体" w:cs="宋体"/>
          <w:color w:val="auto"/>
          <w:sz w:val="21"/>
          <w:szCs w:val="21"/>
          <w:highlight w:val="none"/>
          <w:u w:val="single"/>
          <w:lang w:bidi="ar"/>
        </w:rPr>
        <w:t xml:space="preserve">                     </w:t>
      </w:r>
    </w:p>
    <w:p w14:paraId="565D7D7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邮政编码：</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邮政编码：</w:t>
      </w:r>
      <w:r>
        <w:rPr>
          <w:rFonts w:hint="eastAsia" w:ascii="宋体" w:hAnsi="宋体" w:eastAsia="宋体" w:cs="宋体"/>
          <w:color w:val="auto"/>
          <w:sz w:val="21"/>
          <w:szCs w:val="21"/>
          <w:highlight w:val="none"/>
          <w:u w:val="single"/>
          <w:lang w:bidi="ar"/>
        </w:rPr>
        <w:t xml:space="preserve">                   </w:t>
      </w:r>
    </w:p>
    <w:p w14:paraId="301CEB84">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法定代表人或其授权                 法定代表人或其授权</w:t>
      </w:r>
    </w:p>
    <w:p w14:paraId="5B21D9F4">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的代理人：</w:t>
      </w:r>
      <w:r>
        <w:rPr>
          <w:rFonts w:hint="eastAsia" w:ascii="宋体" w:hAnsi="宋体" w:eastAsia="宋体" w:cs="宋体"/>
          <w:color w:val="auto"/>
          <w:sz w:val="21"/>
          <w:szCs w:val="21"/>
          <w:highlight w:val="none"/>
          <w:u w:val="single"/>
          <w:lang w:bidi="ar"/>
        </w:rPr>
        <w:t xml:space="preserve">（签字）         </w:t>
      </w:r>
      <w:r>
        <w:rPr>
          <w:rFonts w:hint="eastAsia" w:ascii="宋体" w:hAnsi="宋体" w:eastAsia="宋体" w:cs="宋体"/>
          <w:color w:val="auto"/>
          <w:sz w:val="21"/>
          <w:szCs w:val="21"/>
          <w:highlight w:val="none"/>
          <w:lang w:bidi="ar"/>
        </w:rPr>
        <w:t xml:space="preserve">        的代理人：</w:t>
      </w:r>
      <w:r>
        <w:rPr>
          <w:rFonts w:hint="eastAsia" w:ascii="宋体" w:hAnsi="宋体" w:eastAsia="宋体" w:cs="宋体"/>
          <w:color w:val="auto"/>
          <w:sz w:val="21"/>
          <w:szCs w:val="21"/>
          <w:highlight w:val="none"/>
          <w:u w:val="single"/>
          <w:lang w:bidi="ar"/>
        </w:rPr>
        <w:t xml:space="preserve">（签字）           </w:t>
      </w:r>
    </w:p>
    <w:p w14:paraId="67A3DC88">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开户银行：</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开户银行：</w:t>
      </w:r>
      <w:r>
        <w:rPr>
          <w:rFonts w:hint="eastAsia" w:ascii="宋体" w:hAnsi="宋体" w:eastAsia="宋体" w:cs="宋体"/>
          <w:color w:val="auto"/>
          <w:sz w:val="21"/>
          <w:szCs w:val="21"/>
          <w:highlight w:val="none"/>
          <w:u w:val="single"/>
          <w:lang w:bidi="ar"/>
        </w:rPr>
        <w:t xml:space="preserve">                   </w:t>
      </w:r>
    </w:p>
    <w:p w14:paraId="62A1424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账号：</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账号：</w:t>
      </w:r>
      <w:r>
        <w:rPr>
          <w:rFonts w:hint="eastAsia" w:ascii="宋体" w:hAnsi="宋体" w:eastAsia="宋体" w:cs="宋体"/>
          <w:color w:val="auto"/>
          <w:sz w:val="21"/>
          <w:szCs w:val="21"/>
          <w:highlight w:val="none"/>
          <w:u w:val="single"/>
          <w:lang w:bidi="ar"/>
        </w:rPr>
        <w:t xml:space="preserve">                       </w:t>
      </w:r>
    </w:p>
    <w:p w14:paraId="6F0A8F4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电话：</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电话：</w:t>
      </w:r>
      <w:r>
        <w:rPr>
          <w:rFonts w:hint="eastAsia" w:ascii="宋体" w:hAnsi="宋体" w:eastAsia="宋体" w:cs="宋体"/>
          <w:color w:val="auto"/>
          <w:sz w:val="21"/>
          <w:szCs w:val="21"/>
          <w:highlight w:val="none"/>
          <w:u w:val="single"/>
          <w:lang w:bidi="ar"/>
        </w:rPr>
        <w:t xml:space="preserve">                       </w:t>
      </w:r>
    </w:p>
    <w:p w14:paraId="2C0406F7">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传真：</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传真：</w:t>
      </w:r>
      <w:r>
        <w:rPr>
          <w:rFonts w:hint="eastAsia" w:ascii="宋体" w:hAnsi="宋体" w:eastAsia="宋体" w:cs="宋体"/>
          <w:color w:val="auto"/>
          <w:sz w:val="21"/>
          <w:szCs w:val="21"/>
          <w:highlight w:val="none"/>
          <w:u w:val="single"/>
          <w:lang w:bidi="ar"/>
        </w:rPr>
        <w:t xml:space="preserve">                       </w:t>
      </w:r>
    </w:p>
    <w:p w14:paraId="2CA798BA">
      <w:pPr>
        <w:pageBreakBefore w:val="0"/>
        <w:shd w:val="clear"/>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u w:val="single"/>
          <w:lang w:val="zh-CN" w:bidi="ar"/>
        </w:rPr>
      </w:pPr>
      <w:r>
        <w:rPr>
          <w:rFonts w:hint="eastAsia" w:ascii="宋体" w:hAnsi="宋体" w:eastAsia="宋体" w:cs="宋体"/>
          <w:color w:val="auto"/>
          <w:sz w:val="21"/>
          <w:szCs w:val="21"/>
          <w:highlight w:val="none"/>
          <w:lang w:bidi="ar"/>
        </w:rPr>
        <w:t>电子邮箱：</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电子邮箱：</w:t>
      </w:r>
      <w:r>
        <w:rPr>
          <w:rFonts w:hint="eastAsia" w:ascii="宋体" w:hAnsi="宋体" w:eastAsia="宋体" w:cs="宋体"/>
          <w:color w:val="auto"/>
          <w:sz w:val="21"/>
          <w:szCs w:val="21"/>
          <w:highlight w:val="none"/>
          <w:u w:val="single"/>
          <w:lang w:bidi="ar"/>
        </w:rPr>
        <w:t xml:space="preserve">                   </w:t>
      </w:r>
    </w:p>
    <w:p w14:paraId="4D8DFA0B">
      <w:pPr>
        <w:pStyle w:val="6"/>
        <w:shd w:val="clear"/>
        <w:rPr>
          <w:rFonts w:hint="eastAsia" w:ascii="宋体" w:hAnsi="宋体" w:eastAsia="宋体" w:cs="宋体"/>
          <w:color w:val="auto"/>
          <w:highlight w:val="none"/>
          <w:lang w:val="en-US" w:eastAsia="zh-Hans"/>
        </w:rPr>
      </w:pPr>
    </w:p>
    <w:p w14:paraId="7090B6DA"/>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1B64E">
    <w:pPr>
      <w:pStyle w:val="3"/>
      <w:rPr>
        <w:rFonts w:hint="eastAsia" w:ascii="仿宋_GB2312" w:eastAsia="仿宋_GB2312"/>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365E51"/>
    <w:rsid w:val="2B365E51"/>
    <w:rsid w:val="6A724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2349</Words>
  <Characters>2380</Characters>
  <Lines>0</Lines>
  <Paragraphs>0</Paragraphs>
  <TotalTime>0</TotalTime>
  <ScaleCrop>false</ScaleCrop>
  <LinksUpToDate>false</LinksUpToDate>
  <CharactersWithSpaces>3182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2026-03-27T02:07:00Z</dcterms:created>
  <dc:creator>ZBB</dc:creator>
  <cp:lastModifiedBy>ZBB</cp:lastModifiedBy>
  <dcterms:modified xsi:type="dcterms:W3CDTF">2026-03-27T02:30:58Z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442E411772B24050BCFE24FC7B750222_11</vt:lpwstr>
  </property>
  <property fmtid="{D5CDD505-2E9C-101B-9397-08002B2CF9AE}" pid="4" name="KSOTemplateDocerSaveRecord">
    <vt:lpwstr>eyJoZGlkIjoiOTZlMjIwZDU1YzM1YzYzMzlmOTYzOGVmN2ViZjZjMjQiLCJ1c2VySWQiOiIyNjQ2NDU1NDQifQ==</vt:lpwstr>
  </property>
</Properties>
</file>