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版本号：CGZC-2026-025-SXLX26-02-037Z(F)20260414001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西安浐灞国际港2026年网络安全防护服务项目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CGZC-2026-025-SXLX26-02-037Z(F)</w:t>
      </w:r>
      <w:r>
        <w:br/>
      </w:r>
      <w:r>
        <w:br/>
      </w:r>
      <w:r>
        <w:br/>
      </w:r>
    </w:p>
    <w:p>
      <w:pPr>
        <w:pStyle w:val="null3"/>
        <w:jc w:val="center"/>
        <w:outlineLvl w:val="2"/>
      </w:pPr>
      <w:r>
        <w:rPr>
          <w:rFonts w:ascii="仿宋_GB2312" w:hAnsi="仿宋_GB2312" w:cs="仿宋_GB2312" w:eastAsia="仿宋_GB2312"/>
          <w:sz w:val="28"/>
          <w:b/>
        </w:rPr>
        <w:t>西安浐灞国际港宣传文体局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西安浐灞国际港宣传文体局</w:t>
      </w:r>
      <w:r>
        <w:rPr>
          <w:rFonts w:ascii="仿宋_GB2312" w:hAnsi="仿宋_GB2312" w:cs="仿宋_GB2312" w:eastAsia="仿宋_GB2312"/>
        </w:rPr>
        <w:t>委托，拟对</w:t>
      </w:r>
      <w:r>
        <w:rPr>
          <w:rFonts w:ascii="仿宋_GB2312" w:hAnsi="仿宋_GB2312" w:cs="仿宋_GB2312" w:eastAsia="仿宋_GB2312"/>
        </w:rPr>
        <w:t>西安浐灞国际港2026年网络安全防护服务项目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CGZC-2026-025-SXLX26-02-037Z(F)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西安浐灞国际港2026年网络安全防护服务项目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完善区电子政务互联网安全保障体系，加强基础信息安全建设，浐灞国际港网络安全检查和服务建设工作。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采购包1（西安浐灞国际港2026年网络安全防护服务项目）：属于专门面向中小企业采购。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1、合同包1(西安浐灞国际港2026年网络安全防护服务项目)特定资格要求如下:：(1)供应商的营业执照等证明文件，自然人的身份证明；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 (3)提供2024年度或2025年度经审计的财务会计报告或其提交响应文件截止时间前3个月内银行出具的资信证明。 (4)提供供应商2025年1月至今已缴纳任意时段任意税种完税凭证或税务机关开具的完税证明（除个人所得税外，税法规定的任意税种）；依法免税的应提供相关文件证明； (5)提供供应商2025年1月至今任意时段已缴纳的社会保障资金缴存单据或社保机构开具的社会保险参保缴费情况证明；依法不需要缴纳社会保障资金的应提供相关文件证明； (6)具备履行合同所必需的设备和专业技术能力的证明； (7)参加本次磋商前3年内，在经营活动中没有重大违法记录的书面声明； (8)供应商不得被列入“信用中国”网站（https://www.creditchina.gov.cn/ ）“失信被执行人”（页面跳转至“中国执行信息公开网”http://zxgk.court.gov.cn/shixin/）、“重大税收违法失信主体”；不得处于中国政府采购网（http://www.ccgp.gov.cn/)“政府采购严重违法失信行为信息记录”中的禁止参加政府采购活动期间（以评审现场查询结果为准） ； (9)单位负责人为同一人或者存在直接控股、管理关系的不同供应商，不得参加同一合同项下的采购活动 (10)本项目不接受联合体磋商。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西安浐灞国际港宣传文体局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029-83332078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陕西省西安市雁塔区雁翔路111号赛格·中京坊6幢1单元2层10201室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任甜、王小琼、梁嘉峰、魏晴霏、杜航、罗晓妮、李亚男、郑婧婧、王真、周晓青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计价格〔2002〕1980号）和国家发展改革委办公厅颁发的《关于招标代理服务收费有关问题的通知》（发改办价格〔2003〕857号）文件规定标准计算收取，具体收费金额将在成交公告中公布。 请将采购代理服务费汇至下列指定账户： 开户名称：陕西隆信项目管理有限公司 开 户 行：招商银行股份有限公司西安土门支行 账 号：129904064810902 财务部电话：029-88489979-8501 注：招标代理服务费计入投标报价，但报价中不需要单独列项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西安浐灞国际港宣传文体局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西安浐灞国际港宣传文体局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西安浐灞国际港宣传文体局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人要求执行，根据所服务的内容并按照所对应的法律法规、规范标准、技术规程等实施，在实施过程中，如果国家或有关部门颁布了新的技术标准或规范，则供应商应采用新的标准或规范进行实施。 执行标准根据（包括但不限于）以下质量标准进行： 1.《中华人民共和国网络安全法》； 2.《网络安全等级保护基本要求》（GB/T 22239-2019）； 3.《信息安全技术 网络安全应急响应指南》（GB/T 29639-2020）； 供应商提出验收申请之日起10日内组织验收，自行验收。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联系人：任甜、王小琼、梁嘉峰、魏晴霏、杜航、罗晓妮、李亚男、郑婧婧、王真、周晓青</w:t>
      </w:r>
    </w:p>
    <w:p>
      <w:pPr>
        <w:pStyle w:val="null3"/>
      </w:pPr>
      <w:r>
        <w:rPr>
          <w:rFonts w:ascii="仿宋_GB2312" w:hAnsi="仿宋_GB2312" w:cs="仿宋_GB2312" w:eastAsia="仿宋_GB2312"/>
        </w:rPr>
        <w:t>联系电话：029-88489979-8203</w:t>
      </w:r>
    </w:p>
    <w:p>
      <w:pPr>
        <w:pStyle w:val="null3"/>
      </w:pPr>
      <w:r>
        <w:rPr>
          <w:rFonts w:ascii="仿宋_GB2312" w:hAnsi="仿宋_GB2312" w:cs="仿宋_GB2312" w:eastAsia="仿宋_GB2312"/>
        </w:rPr>
        <w:t>地址：陕西省西安市雁塔区雁翔路111号赛格·中京坊6幢1单元2层10201室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完善区电子政务互联网安全保障体系，加强基础信息安全建设，浐灞国际港网络安全检查和服务建设工作。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西安浐灞国际港2026年网络安全防护服务项目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标的名称：西安浐灞国际港2026年网络安全防护服务项目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left"/>
              <w:outlineLvl w:val="1"/>
            </w:pPr>
            <w:r>
              <w:rPr>
                <w:rFonts w:ascii="仿宋_GB2312" w:hAnsi="仿宋_GB2312" w:cs="仿宋_GB2312" w:eastAsia="仿宋_GB2312"/>
                <w:sz w:val="28"/>
                <w:b/>
                <w:color w:val="0000FF"/>
              </w:rPr>
              <w:t>一、项目概况</w:t>
            </w:r>
          </w:p>
          <w:p>
            <w:pPr>
              <w:pStyle w:val="null3"/>
              <w:ind w:firstLine="402"/>
              <w:jc w:val="left"/>
            </w:pPr>
            <w:r>
              <w:rPr>
                <w:rFonts w:ascii="仿宋_GB2312" w:hAnsi="仿宋_GB2312" w:cs="仿宋_GB2312" w:eastAsia="仿宋_GB2312"/>
                <w:sz w:val="20"/>
                <w:b/>
                <w:color w:val="0000FF"/>
              </w:rPr>
              <w:t>本项目属于</w:t>
            </w:r>
            <w:r>
              <w:rPr>
                <w:rFonts w:ascii="仿宋_GB2312" w:hAnsi="仿宋_GB2312" w:cs="仿宋_GB2312" w:eastAsia="仿宋_GB2312"/>
                <w:sz w:val="20"/>
                <w:b/>
                <w:color w:val="0000FF"/>
              </w:rPr>
              <w:t>软件和信息技术服务业。从业人员</w:t>
            </w:r>
            <w:r>
              <w:rPr>
                <w:rFonts w:ascii="仿宋_GB2312" w:hAnsi="仿宋_GB2312" w:cs="仿宋_GB2312" w:eastAsia="仿宋_GB2312"/>
                <w:sz w:val="20"/>
                <w:b/>
                <w:color w:val="0000FF"/>
              </w:rPr>
              <w:t>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pPr>
              <w:pStyle w:val="null3"/>
              <w:spacing w:before="120" w:after="120"/>
              <w:jc w:val="left"/>
              <w:outlineLvl w:val="1"/>
            </w:pPr>
            <w:r>
              <w:rPr>
                <w:rFonts w:ascii="仿宋_GB2312" w:hAnsi="仿宋_GB2312" w:cs="仿宋_GB2312" w:eastAsia="仿宋_GB2312"/>
                <w:sz w:val="28"/>
                <w:b/>
                <w:color w:val="0000FF"/>
              </w:rPr>
              <w:t>二、服务内容</w:t>
            </w:r>
          </w:p>
          <w:p>
            <w:pPr>
              <w:pStyle w:val="null3"/>
              <w:ind w:firstLine="402"/>
              <w:jc w:val="left"/>
            </w:pPr>
            <w:r>
              <w:rPr>
                <w:rFonts w:ascii="仿宋_GB2312" w:hAnsi="仿宋_GB2312" w:cs="仿宋_GB2312" w:eastAsia="仿宋_GB2312"/>
                <w:sz w:val="20"/>
                <w:b/>
                <w:color w:val="0000FF"/>
              </w:rPr>
              <w:t>1、工作范围：</w:t>
            </w:r>
          </w:p>
          <w:p>
            <w:pPr>
              <w:pStyle w:val="null3"/>
              <w:ind w:firstLine="400"/>
              <w:jc w:val="left"/>
            </w:pPr>
            <w:r>
              <w:rPr>
                <w:rFonts w:ascii="仿宋_GB2312" w:hAnsi="仿宋_GB2312" w:cs="仿宋_GB2312" w:eastAsia="仿宋_GB2312"/>
                <w:sz w:val="20"/>
                <w:color w:val="0000FF"/>
              </w:rPr>
              <w:t>本次服务计划开展网络安全攻击自动化阻断服务、安全巡查监测服务、网络安全检查监管、网络安全应急演练服务、网络安全培训、</w:t>
            </w:r>
            <w:r>
              <w:rPr>
                <w:rFonts w:ascii="仿宋_GB2312" w:hAnsi="仿宋_GB2312" w:cs="仿宋_GB2312" w:eastAsia="仿宋_GB2312"/>
                <w:sz w:val="20"/>
                <w:color w:val="0000FF"/>
              </w:rPr>
              <w:t>定点</w:t>
            </w:r>
            <w:r>
              <w:rPr>
                <w:rFonts w:ascii="仿宋_GB2312" w:hAnsi="仿宋_GB2312" w:cs="仿宋_GB2312" w:eastAsia="仿宋_GB2312"/>
                <w:sz w:val="20"/>
                <w:color w:val="0000FF"/>
              </w:rPr>
              <w:t>服务；</w:t>
            </w:r>
          </w:p>
          <w:p>
            <w:pPr>
              <w:pStyle w:val="null3"/>
              <w:ind w:firstLine="402"/>
              <w:jc w:val="left"/>
            </w:pPr>
            <w:r>
              <w:rPr>
                <w:rFonts w:ascii="仿宋_GB2312" w:hAnsi="仿宋_GB2312" w:cs="仿宋_GB2312" w:eastAsia="仿宋_GB2312"/>
                <w:sz w:val="20"/>
                <w:b/>
                <w:color w:val="0000FF"/>
              </w:rPr>
              <w:t>2、网络安全攻击自动化阻断服务：</w:t>
            </w:r>
          </w:p>
          <w:p>
            <w:pPr>
              <w:pStyle w:val="null3"/>
              <w:ind w:firstLine="367"/>
              <w:jc w:val="left"/>
            </w:pPr>
            <w:r>
              <w:rPr>
                <w:rFonts w:ascii="仿宋_GB2312" w:hAnsi="仿宋_GB2312" w:cs="仿宋_GB2312" w:eastAsia="仿宋_GB2312"/>
                <w:sz w:val="20"/>
                <w:color w:val="0000FF"/>
              </w:rPr>
              <w:t>①威胁情报赋能：系统多情报源接入，包含正向攻击、受控外联、IP画像及自定义情报源；正向攻击类情报覆盖金融、电力、能源、党政机关等多个行业；情报源包含不少于3家国内安全厂商，类型含IP、URL、域名及IPv6格式情报。</w:t>
            </w:r>
          </w:p>
          <w:p>
            <w:pPr>
              <w:pStyle w:val="null3"/>
              <w:ind w:firstLine="367"/>
              <w:jc w:val="left"/>
            </w:pPr>
            <w:r>
              <w:rPr>
                <w:rFonts w:ascii="仿宋_GB2312" w:hAnsi="仿宋_GB2312" w:cs="仿宋_GB2312" w:eastAsia="仿宋_GB2312"/>
                <w:sz w:val="20"/>
                <w:color w:val="0000FF"/>
              </w:rPr>
              <w:t>②网络攻击检测阻断：具备不少于40种情报防护类型（含SQL注入、XSS、Webshell等）；支持串联与旁路检测方式、802.1Q网络环境及IPv6检测；支持IP黑白名单精细化配置及旁路自动化阻断。</w:t>
            </w:r>
          </w:p>
          <w:p>
            <w:pPr>
              <w:pStyle w:val="null3"/>
              <w:ind w:firstLine="367"/>
              <w:jc w:val="left"/>
            </w:pPr>
            <w:r>
              <w:rPr>
                <w:rFonts w:ascii="仿宋_GB2312" w:hAnsi="仿宋_GB2312" w:cs="仿宋_GB2312" w:eastAsia="仿宋_GB2312"/>
                <w:sz w:val="20"/>
                <w:color w:val="0000FF"/>
              </w:rPr>
              <w:t>③受控外联检测阻断：基于内到外流量自动化检测，支持APT组织、病毒木马等标签分类分析；检测环境与正向攻击一致，支持旁路自动化阻断恶意外联。</w:t>
            </w:r>
          </w:p>
          <w:p>
            <w:pPr>
              <w:pStyle w:val="null3"/>
              <w:ind w:firstLine="367"/>
              <w:jc w:val="left"/>
            </w:pPr>
            <w:r>
              <w:rPr>
                <w:rFonts w:ascii="仿宋_GB2312" w:hAnsi="仿宋_GB2312" w:cs="仿宋_GB2312" w:eastAsia="仿宋_GB2312"/>
                <w:sz w:val="20"/>
                <w:color w:val="0000FF"/>
              </w:rPr>
              <w:t>④弱口令隐患检测：支持弱口令登录实时监测与阻断，可针对资产设置策略及自定义字典库。</w:t>
            </w:r>
          </w:p>
          <w:p>
            <w:pPr>
              <w:pStyle w:val="null3"/>
              <w:ind w:firstLine="367"/>
              <w:jc w:val="left"/>
            </w:pPr>
            <w:r>
              <w:rPr>
                <w:rFonts w:ascii="仿宋_GB2312" w:hAnsi="仿宋_GB2312" w:cs="仿宋_GB2312" w:eastAsia="仿宋_GB2312"/>
                <w:sz w:val="20"/>
                <w:color w:val="0000FF"/>
              </w:rPr>
              <w:t>⑤溯源画像分析：支持多情报源基础属性画像（归属地、运营商等）及资产属性画像；提供最近三个月攻击轨迹溯源。</w:t>
            </w:r>
          </w:p>
          <w:p>
            <w:pPr>
              <w:pStyle w:val="null3"/>
              <w:ind w:firstLine="367"/>
              <w:jc w:val="left"/>
            </w:pPr>
            <w:r>
              <w:rPr>
                <w:rFonts w:ascii="仿宋_GB2312" w:hAnsi="仿宋_GB2312" w:cs="仿宋_GB2312" w:eastAsia="仿宋_GB2312"/>
                <w:sz w:val="20"/>
                <w:color w:val="0000FF"/>
              </w:rPr>
              <w:t>⑥防护联动处置：支持通过Syslog（含加密）共享安全日志，支持通过API接口调用其他安全设备进行阻断。</w:t>
            </w:r>
          </w:p>
          <w:p>
            <w:pPr>
              <w:pStyle w:val="null3"/>
              <w:ind w:firstLine="367"/>
              <w:jc w:val="left"/>
            </w:pPr>
            <w:r>
              <w:rPr>
                <w:rFonts w:ascii="仿宋_GB2312" w:hAnsi="仿宋_GB2312" w:cs="仿宋_GB2312" w:eastAsia="仿宋_GB2312"/>
                <w:sz w:val="20"/>
                <w:color w:val="0000FF"/>
              </w:rPr>
              <w:t>⑦多维度安全事件分析：支持攻击监测与外联检测多维度统计分析，具备详细风险审计与溯源能力。</w:t>
            </w:r>
          </w:p>
          <w:p>
            <w:pPr>
              <w:pStyle w:val="null3"/>
              <w:ind w:firstLine="367"/>
              <w:jc w:val="left"/>
            </w:pPr>
            <w:r>
              <w:rPr>
                <w:rFonts w:ascii="仿宋_GB2312" w:hAnsi="仿宋_GB2312" w:cs="仿宋_GB2312" w:eastAsia="仿宋_GB2312"/>
                <w:sz w:val="20"/>
                <w:color w:val="0000FF"/>
              </w:rPr>
              <w:t>⑧访问控制：支持IP、URL黑白名单及访问控制策略配置，支持IPv6地址格式。</w:t>
            </w:r>
          </w:p>
          <w:p>
            <w:pPr>
              <w:pStyle w:val="null3"/>
              <w:ind w:firstLine="367"/>
              <w:jc w:val="left"/>
            </w:pPr>
            <w:r>
              <w:rPr>
                <w:rFonts w:ascii="仿宋_GB2312" w:hAnsi="仿宋_GB2312" w:cs="仿宋_GB2312" w:eastAsia="仿宋_GB2312"/>
                <w:sz w:val="20"/>
                <w:color w:val="0000FF"/>
              </w:rPr>
              <w:t>⑨升级维护：提供威胁情报、检测规则实时更新及系统远程在线升级服务。</w:t>
            </w:r>
          </w:p>
          <w:p>
            <w:pPr>
              <w:pStyle w:val="null3"/>
              <w:ind w:firstLine="367"/>
              <w:jc w:val="left"/>
            </w:pPr>
            <w:r>
              <w:rPr>
                <w:rFonts w:ascii="仿宋_GB2312" w:hAnsi="仿宋_GB2312" w:cs="仿宋_GB2312" w:eastAsia="仿宋_GB2312"/>
                <w:sz w:val="20"/>
                <w:b/>
                <w:color w:val="0000FF"/>
              </w:rPr>
              <w:t>3、</w:t>
            </w:r>
            <w:r>
              <w:rPr>
                <w:rFonts w:ascii="仿宋_GB2312" w:hAnsi="仿宋_GB2312" w:cs="仿宋_GB2312" w:eastAsia="仿宋_GB2312"/>
                <w:sz w:val="20"/>
                <w:b/>
                <w:color w:val="0000FF"/>
              </w:rPr>
              <w:t>安全巡查监测服务</w:t>
            </w:r>
          </w:p>
          <w:p>
            <w:pPr>
              <w:pStyle w:val="null3"/>
              <w:ind w:firstLine="367"/>
              <w:jc w:val="left"/>
            </w:pPr>
            <w:r>
              <w:rPr>
                <w:rFonts w:ascii="仿宋_GB2312" w:hAnsi="仿宋_GB2312" w:cs="仿宋_GB2312" w:eastAsia="仿宋_GB2312"/>
                <w:sz w:val="20"/>
                <w:color w:val="0000FF"/>
              </w:rPr>
              <w:t>针对属地网站列表及页面是否存在敏感词等违规内容进行巡查，可高效性、规范化，实现属地基础信息巡查、违规网站的违法事实预警及证据采集，网站巡查服务可以满足网信办对区内党政机关门户网站、关键信息基础设施网站（</w:t>
            </w:r>
            <w:r>
              <w:rPr>
                <w:rFonts w:ascii="仿宋_GB2312" w:hAnsi="仿宋_GB2312" w:cs="仿宋_GB2312" w:eastAsia="仿宋_GB2312"/>
                <w:sz w:val="20"/>
                <w:color w:val="0000FF"/>
              </w:rPr>
              <w:t>B/S架构应用系统）和网站进行的巡查，强化网信行政执法手段和措施。</w:t>
            </w:r>
          </w:p>
          <w:p>
            <w:pPr>
              <w:pStyle w:val="null3"/>
              <w:ind w:firstLine="367"/>
              <w:jc w:val="left"/>
            </w:pPr>
            <w:r>
              <w:rPr>
                <w:rFonts w:ascii="仿宋_GB2312" w:hAnsi="仿宋_GB2312" w:cs="仿宋_GB2312" w:eastAsia="仿宋_GB2312"/>
                <w:sz w:val="20"/>
                <w:color w:val="0000FF"/>
              </w:rPr>
              <w:t>①</w:t>
            </w:r>
            <w:r>
              <w:rPr>
                <w:rFonts w:ascii="仿宋_GB2312" w:hAnsi="仿宋_GB2312" w:cs="仿宋_GB2312" w:eastAsia="仿宋_GB2312"/>
                <w:sz w:val="20"/>
                <w:color w:val="0000FF"/>
              </w:rPr>
              <w:t>巡查内容包括：文本违规监测、图片违规监测、视频违规监测等；</w:t>
            </w:r>
          </w:p>
          <w:p>
            <w:pPr>
              <w:pStyle w:val="null3"/>
              <w:ind w:firstLine="367"/>
              <w:jc w:val="left"/>
            </w:pPr>
            <w:r>
              <w:rPr>
                <w:rFonts w:ascii="仿宋_GB2312" w:hAnsi="仿宋_GB2312" w:cs="仿宋_GB2312" w:eastAsia="仿宋_GB2312"/>
                <w:sz w:val="20"/>
                <w:color w:val="0000FF"/>
              </w:rPr>
              <w:t>②</w:t>
            </w:r>
            <w:r>
              <w:rPr>
                <w:rFonts w:ascii="仿宋_GB2312" w:hAnsi="仿宋_GB2312" w:cs="仿宋_GB2312" w:eastAsia="仿宋_GB2312"/>
                <w:sz w:val="20"/>
                <w:color w:val="0000FF"/>
              </w:rPr>
              <w:t>违规类型监测：包含涉政治、涉色情、涉博彩、涉暴恐等；</w:t>
            </w:r>
          </w:p>
          <w:p>
            <w:pPr>
              <w:pStyle w:val="null3"/>
              <w:ind w:firstLine="367"/>
              <w:jc w:val="left"/>
            </w:pPr>
            <w:r>
              <w:rPr>
                <w:rFonts w:ascii="仿宋_GB2312" w:hAnsi="仿宋_GB2312" w:cs="仿宋_GB2312" w:eastAsia="仿宋_GB2312"/>
                <w:sz w:val="20"/>
                <w:color w:val="0000FF"/>
              </w:rPr>
              <w:t>③</w:t>
            </w:r>
            <w:r>
              <w:rPr>
                <w:rFonts w:ascii="仿宋_GB2312" w:hAnsi="仿宋_GB2312" w:cs="仿宋_GB2312" w:eastAsia="仿宋_GB2312"/>
                <w:sz w:val="20"/>
                <w:color w:val="0000FF"/>
              </w:rPr>
              <w:t>属地网站管理：属地网站信息统计；</w:t>
            </w:r>
          </w:p>
          <w:p>
            <w:pPr>
              <w:pStyle w:val="null3"/>
              <w:ind w:firstLine="367"/>
              <w:jc w:val="left"/>
            </w:pPr>
            <w:r>
              <w:rPr>
                <w:rFonts w:ascii="仿宋_GB2312" w:hAnsi="仿宋_GB2312" w:cs="仿宋_GB2312" w:eastAsia="仿宋_GB2312"/>
                <w:sz w:val="20"/>
                <w:color w:val="0000FF"/>
              </w:rPr>
              <w:t>④</w:t>
            </w:r>
            <w:r>
              <w:rPr>
                <w:rFonts w:ascii="仿宋_GB2312" w:hAnsi="仿宋_GB2312" w:cs="仿宋_GB2312" w:eastAsia="仿宋_GB2312"/>
                <w:sz w:val="20"/>
                <w:color w:val="0000FF"/>
              </w:rPr>
              <w:t>网站备案查询：网站备案信息批量查询；</w:t>
            </w:r>
          </w:p>
          <w:p>
            <w:pPr>
              <w:pStyle w:val="null3"/>
              <w:ind w:firstLine="367"/>
              <w:jc w:val="left"/>
            </w:pPr>
            <w:r>
              <w:rPr>
                <w:rFonts w:ascii="仿宋_GB2312" w:hAnsi="仿宋_GB2312" w:cs="仿宋_GB2312" w:eastAsia="仿宋_GB2312"/>
                <w:sz w:val="20"/>
                <w:color w:val="0000FF"/>
              </w:rPr>
              <w:t>⑤</w:t>
            </w:r>
            <w:r>
              <w:rPr>
                <w:rFonts w:ascii="仿宋_GB2312" w:hAnsi="仿宋_GB2312" w:cs="仿宋_GB2312" w:eastAsia="仿宋_GB2312"/>
                <w:sz w:val="20"/>
                <w:color w:val="0000FF"/>
              </w:rPr>
              <w:t>属地账号管理：属地直播账号平台信息统计；</w:t>
            </w:r>
          </w:p>
          <w:p>
            <w:pPr>
              <w:pStyle w:val="null3"/>
              <w:ind w:firstLine="367"/>
              <w:jc w:val="left"/>
            </w:pPr>
            <w:r>
              <w:rPr>
                <w:rFonts w:ascii="仿宋_GB2312" w:hAnsi="仿宋_GB2312" w:cs="仿宋_GB2312" w:eastAsia="仿宋_GB2312"/>
                <w:sz w:val="20"/>
                <w:color w:val="0000FF"/>
              </w:rPr>
              <w:t>⑥</w:t>
            </w:r>
            <w:r>
              <w:rPr>
                <w:rFonts w:ascii="仿宋_GB2312" w:hAnsi="仿宋_GB2312" w:cs="仿宋_GB2312" w:eastAsia="仿宋_GB2312"/>
                <w:sz w:val="20"/>
                <w:color w:val="0000FF"/>
              </w:rPr>
              <w:t>自动化取证：发现违法违规内容，自动截图、保存源码；</w:t>
            </w:r>
          </w:p>
          <w:p>
            <w:pPr>
              <w:pStyle w:val="null3"/>
              <w:ind w:firstLine="367"/>
              <w:jc w:val="left"/>
            </w:pPr>
            <w:r>
              <w:rPr>
                <w:rFonts w:ascii="仿宋_GB2312" w:hAnsi="仿宋_GB2312" w:cs="仿宋_GB2312" w:eastAsia="仿宋_GB2312"/>
                <w:sz w:val="20"/>
                <w:color w:val="0000FF"/>
              </w:rPr>
              <w:t>⑦</w:t>
            </w:r>
            <w:r>
              <w:rPr>
                <w:rFonts w:ascii="仿宋_GB2312" w:hAnsi="仿宋_GB2312" w:cs="仿宋_GB2312" w:eastAsia="仿宋_GB2312"/>
                <w:sz w:val="20"/>
                <w:color w:val="0000FF"/>
              </w:rPr>
              <w:t>应急排查：与网络安全事件或社会热点事件相关联。在紧急情况下，能对属地网站中的相关信息进行快速扫描，确保不遗漏任何可能的风险；</w:t>
            </w:r>
          </w:p>
          <w:p>
            <w:pPr>
              <w:pStyle w:val="null3"/>
              <w:ind w:firstLine="367"/>
              <w:jc w:val="left"/>
            </w:pPr>
            <w:r>
              <w:rPr>
                <w:rFonts w:ascii="仿宋_GB2312" w:hAnsi="仿宋_GB2312" w:cs="仿宋_GB2312" w:eastAsia="仿宋_GB2312"/>
                <w:sz w:val="20"/>
                <w:color w:val="0000FF"/>
              </w:rPr>
              <w:t>⑧</w:t>
            </w:r>
            <w:r>
              <w:rPr>
                <w:rFonts w:ascii="仿宋_GB2312" w:hAnsi="仿宋_GB2312" w:cs="仿宋_GB2312" w:eastAsia="仿宋_GB2312"/>
                <w:sz w:val="20"/>
                <w:color w:val="0000FF"/>
              </w:rPr>
              <w:t>内容巡查监测系统</w:t>
            </w:r>
            <w:r>
              <w:rPr>
                <w:rFonts w:ascii="仿宋_GB2312" w:hAnsi="仿宋_GB2312" w:cs="仿宋_GB2312" w:eastAsia="仿宋_GB2312"/>
                <w:sz w:val="20"/>
                <w:color w:val="0000FF"/>
              </w:rPr>
              <w:t>7x24小时不间断巡查监测，能够对违规内容进行自动化证据固定留存</w:t>
            </w:r>
          </w:p>
          <w:p>
            <w:pPr>
              <w:pStyle w:val="null3"/>
              <w:ind w:firstLine="367"/>
              <w:jc w:val="left"/>
            </w:pPr>
            <w:r>
              <w:rPr>
                <w:rFonts w:ascii="仿宋_GB2312" w:hAnsi="仿宋_GB2312" w:cs="仿宋_GB2312" w:eastAsia="仿宋_GB2312"/>
                <w:sz w:val="20"/>
                <w:b/>
                <w:color w:val="0000FF"/>
              </w:rPr>
              <w:t>4</w:t>
            </w:r>
            <w:r>
              <w:rPr>
                <w:rFonts w:ascii="仿宋_GB2312" w:hAnsi="仿宋_GB2312" w:cs="仿宋_GB2312" w:eastAsia="仿宋_GB2312"/>
                <w:sz w:val="20"/>
                <w:b/>
                <w:color w:val="0000FF"/>
              </w:rPr>
              <w:t>、网络安全检查监管</w:t>
            </w:r>
          </w:p>
          <w:p>
            <w:pPr>
              <w:pStyle w:val="null3"/>
              <w:ind w:firstLine="367"/>
              <w:jc w:val="left"/>
            </w:pPr>
            <w:r>
              <w:rPr>
                <w:rFonts w:ascii="仿宋_GB2312" w:hAnsi="仿宋_GB2312" w:cs="仿宋_GB2312" w:eastAsia="仿宋_GB2312"/>
                <w:sz w:val="20"/>
                <w:color w:val="0000FF"/>
              </w:rPr>
              <w:t>协助开展信息安全检查，进一步梳理、掌握各重要单位重要网络与信息安全基本情况，查找突出的安全问题和薄弱环节，分析面临的安全威胁和风险，为网络安全检查提供技术支撑，有针对性地采取防范对策和改进措施，加强网络与信息系统安全管理和技术防护，做到及时排查问题和安全隐患及时解决，输出安全检查报告和整改建议，监督安全整改，消除隐患风险。检查内容包括但不限于：</w:t>
            </w:r>
          </w:p>
          <w:p>
            <w:pPr>
              <w:pStyle w:val="null3"/>
              <w:ind w:firstLine="367"/>
              <w:jc w:val="left"/>
            </w:pPr>
            <w:r>
              <w:rPr>
                <w:rFonts w:ascii="仿宋_GB2312" w:hAnsi="仿宋_GB2312" w:cs="仿宋_GB2312" w:eastAsia="仿宋_GB2312"/>
                <w:sz w:val="20"/>
                <w:color w:val="0000FF"/>
              </w:rPr>
              <w:t>①</w:t>
            </w:r>
            <w:r>
              <w:rPr>
                <w:rFonts w:ascii="仿宋_GB2312" w:hAnsi="仿宋_GB2312" w:cs="仿宋_GB2312" w:eastAsia="仿宋_GB2312"/>
                <w:sz w:val="20"/>
                <w:color w:val="0000FF"/>
              </w:rPr>
              <w:t>检查网站页面内容完整、不被篡改；</w:t>
            </w:r>
          </w:p>
          <w:p>
            <w:pPr>
              <w:pStyle w:val="null3"/>
              <w:ind w:firstLine="367"/>
              <w:jc w:val="left"/>
            </w:pPr>
            <w:r>
              <w:rPr>
                <w:rFonts w:ascii="仿宋_GB2312" w:hAnsi="仿宋_GB2312" w:cs="仿宋_GB2312" w:eastAsia="仿宋_GB2312"/>
                <w:sz w:val="20"/>
                <w:color w:val="0000FF"/>
              </w:rPr>
              <w:t>②</w:t>
            </w:r>
            <w:r>
              <w:rPr>
                <w:rFonts w:ascii="仿宋_GB2312" w:hAnsi="仿宋_GB2312" w:cs="仿宋_GB2312" w:eastAsia="仿宋_GB2312"/>
                <w:sz w:val="20"/>
                <w:color w:val="0000FF"/>
              </w:rPr>
              <w:t>检查整体网络的</w:t>
            </w:r>
            <w:r>
              <w:rPr>
                <w:rFonts w:ascii="仿宋_GB2312" w:hAnsi="仿宋_GB2312" w:cs="仿宋_GB2312" w:eastAsia="仿宋_GB2312"/>
                <w:sz w:val="20"/>
                <w:color w:val="0000FF"/>
              </w:rPr>
              <w:t>SQL 注入、XSS、非法访问、信息泄露等漏洞，从而提前解决潜在风险；</w:t>
            </w:r>
          </w:p>
          <w:p>
            <w:pPr>
              <w:pStyle w:val="null3"/>
              <w:ind w:firstLine="367"/>
              <w:jc w:val="left"/>
            </w:pPr>
            <w:r>
              <w:rPr>
                <w:rFonts w:ascii="仿宋_GB2312" w:hAnsi="仿宋_GB2312" w:cs="仿宋_GB2312" w:eastAsia="仿宋_GB2312"/>
                <w:sz w:val="20"/>
                <w:color w:val="0000FF"/>
              </w:rPr>
              <w:t>③</w:t>
            </w:r>
            <w:r>
              <w:rPr>
                <w:rFonts w:ascii="仿宋_GB2312" w:hAnsi="仿宋_GB2312" w:cs="仿宋_GB2312" w:eastAsia="仿宋_GB2312"/>
                <w:sz w:val="20"/>
                <w:color w:val="0000FF"/>
              </w:rPr>
              <w:t>检查网络安全管理制度是否完善，网络安全资料存储是否完善，提前完善相关责任制度。</w:t>
            </w:r>
          </w:p>
          <w:p>
            <w:pPr>
              <w:pStyle w:val="null3"/>
              <w:ind w:firstLine="367"/>
              <w:jc w:val="left"/>
            </w:pPr>
            <w:r>
              <w:rPr>
                <w:rFonts w:ascii="仿宋_GB2312" w:hAnsi="仿宋_GB2312" w:cs="仿宋_GB2312" w:eastAsia="仿宋_GB2312"/>
                <w:sz w:val="20"/>
                <w:b/>
                <w:color w:val="0000FF"/>
              </w:rPr>
              <w:t>5、</w:t>
            </w:r>
            <w:r>
              <w:rPr>
                <w:rFonts w:ascii="仿宋_GB2312" w:hAnsi="仿宋_GB2312" w:cs="仿宋_GB2312" w:eastAsia="仿宋_GB2312"/>
                <w:sz w:val="20"/>
                <w:b/>
                <w:color w:val="0000FF"/>
              </w:rPr>
              <w:t>应急演练服务</w:t>
            </w:r>
          </w:p>
          <w:p>
            <w:pPr>
              <w:pStyle w:val="null3"/>
              <w:ind w:firstLine="367"/>
              <w:jc w:val="left"/>
            </w:pPr>
            <w:r>
              <w:rPr>
                <w:rFonts w:ascii="仿宋_GB2312" w:hAnsi="仿宋_GB2312" w:cs="仿宋_GB2312" w:eastAsia="仿宋_GB2312"/>
                <w:sz w:val="20"/>
                <w:color w:val="0000FF"/>
              </w:rPr>
              <w:t>围绕全区开展应急演练</w:t>
            </w:r>
            <w:r>
              <w:rPr>
                <w:rFonts w:ascii="仿宋_GB2312" w:hAnsi="仿宋_GB2312" w:cs="仿宋_GB2312" w:eastAsia="仿宋_GB2312"/>
                <w:sz w:val="20"/>
                <w:color w:val="0000FF"/>
              </w:rPr>
              <w:t>1次</w:t>
            </w:r>
            <w:r>
              <w:rPr>
                <w:rFonts w:ascii="仿宋_GB2312" w:hAnsi="仿宋_GB2312" w:cs="仿宋_GB2312" w:eastAsia="仿宋_GB2312"/>
                <w:sz w:val="20"/>
                <w:color w:val="0000FF"/>
              </w:rPr>
              <w:t>，对全区网络安全事件的协同处置能力进行提升，采用网络攻击造成信息系统失陷和遭受病毒木马受控外联的安全事件演练，通过全流程的应急演练技术配合工作，提升全区面对突发安全事件的应对能力。</w:t>
            </w:r>
          </w:p>
          <w:p>
            <w:pPr>
              <w:pStyle w:val="null3"/>
              <w:ind w:firstLine="367"/>
              <w:jc w:val="left"/>
            </w:pPr>
            <w:r>
              <w:rPr>
                <w:rFonts w:ascii="仿宋_GB2312" w:hAnsi="仿宋_GB2312" w:cs="仿宋_GB2312" w:eastAsia="仿宋_GB2312"/>
                <w:sz w:val="20"/>
                <w:b/>
                <w:color w:val="0000FF"/>
              </w:rPr>
              <w:t>6、</w:t>
            </w:r>
            <w:r>
              <w:rPr>
                <w:rFonts w:ascii="仿宋_GB2312" w:hAnsi="仿宋_GB2312" w:cs="仿宋_GB2312" w:eastAsia="仿宋_GB2312"/>
                <w:sz w:val="20"/>
                <w:b/>
                <w:color w:val="0000FF"/>
              </w:rPr>
              <w:t>网络安全培训</w:t>
            </w:r>
          </w:p>
          <w:p>
            <w:pPr>
              <w:pStyle w:val="null3"/>
              <w:ind w:firstLine="367"/>
              <w:jc w:val="left"/>
            </w:pPr>
            <w:r>
              <w:rPr>
                <w:rFonts w:ascii="仿宋_GB2312" w:hAnsi="仿宋_GB2312" w:cs="仿宋_GB2312" w:eastAsia="仿宋_GB2312"/>
                <w:sz w:val="20"/>
                <w:color w:val="0000FF"/>
              </w:rPr>
              <w:t>聘请专业网络安全专家，全年召开不少于</w:t>
            </w:r>
            <w:r>
              <w:rPr>
                <w:rFonts w:ascii="仿宋_GB2312" w:hAnsi="仿宋_GB2312" w:cs="仿宋_GB2312" w:eastAsia="仿宋_GB2312"/>
                <w:sz w:val="20"/>
                <w:color w:val="0000FF"/>
              </w:rPr>
              <w:t>2次的全区网络安全培训会议，通过系统的学习和培训，加强区机关对工作人员的管理。达到在提高机关工作人员网络安全意识的同时，也可以提升现有网络安全工作人员的技能。</w:t>
            </w:r>
          </w:p>
          <w:p>
            <w:pPr>
              <w:pStyle w:val="null3"/>
              <w:ind w:firstLine="367"/>
              <w:jc w:val="left"/>
            </w:pPr>
            <w:r>
              <w:rPr>
                <w:rFonts w:ascii="仿宋_GB2312" w:hAnsi="仿宋_GB2312" w:cs="仿宋_GB2312" w:eastAsia="仿宋_GB2312"/>
                <w:sz w:val="20"/>
                <w:b/>
                <w:color w:val="0000FF"/>
              </w:rPr>
              <w:t>7、定点</w:t>
            </w:r>
            <w:r>
              <w:rPr>
                <w:rFonts w:ascii="仿宋_GB2312" w:hAnsi="仿宋_GB2312" w:cs="仿宋_GB2312" w:eastAsia="仿宋_GB2312"/>
                <w:sz w:val="20"/>
                <w:b/>
                <w:color w:val="0000FF"/>
              </w:rPr>
              <w:t>服务</w:t>
            </w:r>
          </w:p>
          <w:p>
            <w:pPr>
              <w:pStyle w:val="null3"/>
              <w:ind w:firstLine="367"/>
              <w:jc w:val="left"/>
            </w:pPr>
            <w:r>
              <w:rPr>
                <w:rFonts w:ascii="仿宋_GB2312" w:hAnsi="仿宋_GB2312" w:cs="仿宋_GB2312" w:eastAsia="仿宋_GB2312"/>
                <w:sz w:val="20"/>
                <w:color w:val="0000FF"/>
              </w:rPr>
              <w:t>提供</w:t>
            </w:r>
            <w:r>
              <w:rPr>
                <w:rFonts w:ascii="仿宋_GB2312" w:hAnsi="仿宋_GB2312" w:cs="仿宋_GB2312" w:eastAsia="仿宋_GB2312"/>
                <w:sz w:val="20"/>
                <w:color w:val="0000FF"/>
              </w:rPr>
              <w:t>2名安全技术</w:t>
            </w:r>
            <w:r>
              <w:rPr>
                <w:rFonts w:ascii="仿宋_GB2312" w:hAnsi="仿宋_GB2312" w:cs="仿宋_GB2312" w:eastAsia="仿宋_GB2312"/>
                <w:sz w:val="20"/>
                <w:color w:val="0000FF"/>
              </w:rPr>
              <w:t>人员</w:t>
            </w:r>
            <w:r>
              <w:rPr>
                <w:rFonts w:ascii="仿宋_GB2312" w:hAnsi="仿宋_GB2312" w:cs="仿宋_GB2312" w:eastAsia="仿宋_GB2312"/>
                <w:sz w:val="20"/>
                <w:color w:val="0000FF"/>
              </w:rPr>
              <w:t>定点办公，协助处理全年与网络安全相关的工作，包括不限于网络安全检查、网络安全风险事件处理，网络安全建设。</w:t>
            </w:r>
            <w:r>
              <w:rPr>
                <w:rFonts w:ascii="仿宋_GB2312" w:hAnsi="仿宋_GB2312" w:cs="仿宋_GB2312" w:eastAsia="仿宋_GB2312"/>
                <w:sz w:val="20"/>
                <w:color w:val="0000FF"/>
              </w:rPr>
              <w:t>定点办公的</w:t>
            </w:r>
            <w:r>
              <w:rPr>
                <w:rFonts w:ascii="仿宋_GB2312" w:hAnsi="仿宋_GB2312" w:cs="仿宋_GB2312" w:eastAsia="仿宋_GB2312"/>
                <w:sz w:val="20"/>
                <w:color w:val="0000FF"/>
              </w:rPr>
              <w:t>的技术人员能够独立解决最常遇到的网络安全风险事件，能够熟练运用安全服务期间所使用到的各类安全工具，对于安全监测日志中有害的信息能够进行甄别，同时具有良好的文字总结能力，能够按照要求将技术性较强的术语转换成普适性的报告，</w:t>
            </w:r>
            <w:r>
              <w:rPr>
                <w:rFonts w:ascii="仿宋_GB2312" w:hAnsi="仿宋_GB2312" w:cs="仿宋_GB2312" w:eastAsia="仿宋_GB2312"/>
                <w:sz w:val="20"/>
                <w:color w:val="0000FF"/>
              </w:rPr>
              <w:t>定点服务</w:t>
            </w:r>
            <w:r>
              <w:rPr>
                <w:rFonts w:ascii="仿宋_GB2312" w:hAnsi="仿宋_GB2312" w:cs="仿宋_GB2312" w:eastAsia="仿宋_GB2312"/>
                <w:sz w:val="20"/>
                <w:color w:val="0000FF"/>
              </w:rPr>
              <w:t>的技术人员按照</w:t>
            </w:r>
            <w:r>
              <w:rPr>
                <w:rFonts w:ascii="仿宋_GB2312" w:hAnsi="仿宋_GB2312" w:cs="仿宋_GB2312" w:eastAsia="仿宋_GB2312"/>
                <w:sz w:val="20"/>
                <w:color w:val="0000FF"/>
              </w:rPr>
              <w:t>采购人</w:t>
            </w:r>
            <w:r>
              <w:rPr>
                <w:rFonts w:ascii="仿宋_GB2312" w:hAnsi="仿宋_GB2312" w:cs="仿宋_GB2312" w:eastAsia="仿宋_GB2312"/>
                <w:sz w:val="20"/>
                <w:color w:val="0000FF"/>
              </w:rPr>
              <w:t>办公要求严格执行。</w:t>
            </w:r>
          </w:p>
          <w:p>
            <w:pPr>
              <w:pStyle w:val="null3"/>
              <w:numPr>
                <w:ilvl w:val="0"/>
                <w:numId w:val="1"/>
              </w:numPr>
              <w:spacing w:before="120" w:after="120"/>
              <w:jc w:val="left"/>
            </w:pPr>
            <w:r>
              <w:rPr>
                <w:rFonts w:ascii="仿宋_GB2312" w:hAnsi="仿宋_GB2312" w:cs="仿宋_GB2312" w:eastAsia="仿宋_GB2312"/>
                <w:sz w:val="28"/>
                <w:b/>
                <w:color w:val="0000FF"/>
              </w:rPr>
              <w:t>技术服务档案要求</w:t>
            </w:r>
          </w:p>
          <w:p>
            <w:pPr>
              <w:pStyle w:val="null3"/>
              <w:ind w:firstLine="367"/>
              <w:jc w:val="left"/>
            </w:pPr>
            <w:r>
              <w:rPr>
                <w:rFonts w:ascii="仿宋_GB2312" w:hAnsi="仿宋_GB2312" w:cs="仿宋_GB2312" w:eastAsia="仿宋_GB2312"/>
                <w:sz w:val="20"/>
                <w:color w:val="0000FF"/>
              </w:rPr>
              <w:t>①</w:t>
            </w:r>
            <w:r>
              <w:rPr>
                <w:rFonts w:ascii="仿宋_GB2312" w:hAnsi="仿宋_GB2312" w:cs="仿宋_GB2312" w:eastAsia="仿宋_GB2312"/>
                <w:sz w:val="20"/>
                <w:color w:val="0000FF"/>
              </w:rPr>
              <w:t>攻击自动化阻断服务：</w:t>
            </w:r>
            <w:r>
              <w:rPr>
                <w:rFonts w:ascii="仿宋_GB2312" w:hAnsi="仿宋_GB2312" w:cs="仿宋_GB2312" w:eastAsia="仿宋_GB2312"/>
                <w:sz w:val="20"/>
                <w:color w:val="0000FF"/>
              </w:rPr>
              <w:t>合同签订后一日内</w:t>
            </w:r>
            <w:r>
              <w:rPr>
                <w:rFonts w:ascii="仿宋_GB2312" w:hAnsi="仿宋_GB2312" w:cs="仿宋_GB2312" w:eastAsia="仿宋_GB2312"/>
                <w:sz w:val="20"/>
                <w:color w:val="0000FF"/>
              </w:rPr>
              <w:t>提供原厂威胁情报联防阻断授权服务</w:t>
            </w:r>
            <w:r>
              <w:rPr>
                <w:rFonts w:ascii="仿宋_GB2312" w:hAnsi="仿宋_GB2312" w:cs="仿宋_GB2312" w:eastAsia="仿宋_GB2312"/>
                <w:sz w:val="20"/>
                <w:color w:val="0000FF"/>
              </w:rPr>
              <w:t>原厂授权证明、运行日志（每月</w:t>
            </w:r>
            <w:r>
              <w:rPr>
                <w:rFonts w:ascii="仿宋_GB2312" w:hAnsi="仿宋_GB2312" w:cs="仿宋_GB2312" w:eastAsia="仿宋_GB2312"/>
                <w:sz w:val="20"/>
                <w:color w:val="0000FF"/>
              </w:rPr>
              <w:t>1份，次月5个工作日内提交）、事件分析及阻断报表（每月1份，次月5个工作日内提交），均提供纸质版1份+电子版1份</w:t>
            </w:r>
          </w:p>
          <w:p>
            <w:pPr>
              <w:pStyle w:val="null3"/>
              <w:ind w:firstLine="367"/>
              <w:jc w:val="left"/>
            </w:pPr>
            <w:r>
              <w:rPr>
                <w:rFonts w:ascii="仿宋_GB2312" w:hAnsi="仿宋_GB2312" w:cs="仿宋_GB2312" w:eastAsia="仿宋_GB2312"/>
                <w:sz w:val="20"/>
                <w:color w:val="0000FF"/>
              </w:rPr>
              <w:t>②</w:t>
            </w:r>
            <w:r>
              <w:rPr>
                <w:rFonts w:ascii="仿宋_GB2312" w:hAnsi="仿宋_GB2312" w:cs="仿宋_GB2312" w:eastAsia="仿宋_GB2312"/>
                <w:sz w:val="20"/>
                <w:color w:val="0000FF"/>
              </w:rPr>
              <w:t>安全巡查监测服务：巡查台账（每月</w:t>
            </w:r>
            <w:r>
              <w:rPr>
                <w:rFonts w:ascii="仿宋_GB2312" w:hAnsi="仿宋_GB2312" w:cs="仿宋_GB2312" w:eastAsia="仿宋_GB2312"/>
                <w:sz w:val="20"/>
                <w:color w:val="0000FF"/>
              </w:rPr>
              <w:t>1份，次月5个工作日内提交）、违规取证材料（发现违规后24小时内提交）、月度/年度巡查报告（月度次月5个工作日内、年度服务结束后15个工作日内提交），均提供纸质版1份+电子版1份</w:t>
            </w:r>
          </w:p>
          <w:p>
            <w:pPr>
              <w:pStyle w:val="null3"/>
              <w:ind w:firstLine="367"/>
              <w:jc w:val="left"/>
            </w:pPr>
            <w:r>
              <w:rPr>
                <w:rFonts w:ascii="仿宋_GB2312" w:hAnsi="仿宋_GB2312" w:cs="仿宋_GB2312" w:eastAsia="仿宋_GB2312"/>
                <w:sz w:val="20"/>
                <w:color w:val="0000FF"/>
              </w:rPr>
              <w:t>③</w:t>
            </w:r>
            <w:r>
              <w:rPr>
                <w:rFonts w:ascii="仿宋_GB2312" w:hAnsi="仿宋_GB2312" w:cs="仿宋_GB2312" w:eastAsia="仿宋_GB2312"/>
                <w:sz w:val="20"/>
                <w:color w:val="0000FF"/>
              </w:rPr>
              <w:t xml:space="preserve"> </w:t>
            </w:r>
            <w:r>
              <w:rPr>
                <w:rFonts w:ascii="仿宋_GB2312" w:hAnsi="仿宋_GB2312" w:cs="仿宋_GB2312" w:eastAsia="仿宋_GB2312"/>
                <w:sz w:val="20"/>
                <w:color w:val="0000FF"/>
              </w:rPr>
              <w:t>网络安全检查监管：检查报告（每次检查结束后</w:t>
            </w:r>
            <w:r>
              <w:rPr>
                <w:rFonts w:ascii="仿宋_GB2312" w:hAnsi="仿宋_GB2312" w:cs="仿宋_GB2312" w:eastAsia="仿宋_GB2312"/>
                <w:sz w:val="20"/>
                <w:color w:val="0000FF"/>
              </w:rPr>
              <w:t>10个工作日内提交）、漏洞扫描/渗透测试报告（每季度结束后10个工作日内提交）、整改建议及跟踪台账（检查后10个工作日内提交，整改完成后5个工作日内更新），均提供纸质版1份+电子版1份</w:t>
            </w:r>
          </w:p>
          <w:p>
            <w:pPr>
              <w:pStyle w:val="null3"/>
              <w:ind w:firstLine="367"/>
              <w:jc w:val="left"/>
            </w:pPr>
            <w:r>
              <w:rPr>
                <w:rFonts w:ascii="仿宋_GB2312" w:hAnsi="仿宋_GB2312" w:cs="仿宋_GB2312" w:eastAsia="仿宋_GB2312"/>
                <w:sz w:val="20"/>
                <w:color w:val="0000FF"/>
              </w:rPr>
              <w:t>④</w:t>
            </w:r>
            <w:r>
              <w:rPr>
                <w:rFonts w:ascii="仿宋_GB2312" w:hAnsi="仿宋_GB2312" w:cs="仿宋_GB2312" w:eastAsia="仿宋_GB2312"/>
                <w:sz w:val="20"/>
                <w:color w:val="0000FF"/>
              </w:rPr>
              <w:t xml:space="preserve"> </w:t>
            </w:r>
            <w:r>
              <w:rPr>
                <w:rFonts w:ascii="仿宋_GB2312" w:hAnsi="仿宋_GB2312" w:cs="仿宋_GB2312" w:eastAsia="仿宋_GB2312"/>
                <w:sz w:val="20"/>
                <w:color w:val="0000FF"/>
              </w:rPr>
              <w:t>应急演练服务：演练方案（演练前</w:t>
            </w:r>
            <w:r>
              <w:rPr>
                <w:rFonts w:ascii="仿宋_GB2312" w:hAnsi="仿宋_GB2312" w:cs="仿宋_GB2312" w:eastAsia="仿宋_GB2312"/>
                <w:sz w:val="20"/>
                <w:color w:val="0000FF"/>
              </w:rPr>
              <w:t>15个工作日内提交）、过程记录（演练结束后3个工作日内提交）、《浐灞国际港应急演练测试服务报告》（演练结束后7个工作日内提交），均提供纸质版2份+电子版1份</w:t>
            </w:r>
          </w:p>
          <w:p>
            <w:pPr>
              <w:pStyle w:val="null3"/>
              <w:ind w:firstLine="367"/>
              <w:jc w:val="left"/>
            </w:pPr>
            <w:r>
              <w:rPr>
                <w:rFonts w:ascii="仿宋_GB2312" w:hAnsi="仿宋_GB2312" w:cs="仿宋_GB2312" w:eastAsia="仿宋_GB2312"/>
                <w:sz w:val="20"/>
                <w:color w:val="0000FF"/>
              </w:rPr>
              <w:t>⑤</w:t>
            </w:r>
            <w:r>
              <w:rPr>
                <w:rFonts w:ascii="仿宋_GB2312" w:hAnsi="仿宋_GB2312" w:cs="仿宋_GB2312" w:eastAsia="仿宋_GB2312"/>
                <w:sz w:val="20"/>
                <w:color w:val="0000FF"/>
              </w:rPr>
              <w:t>网络安全培训：培训课件（培训前</w:t>
            </w:r>
            <w:r>
              <w:rPr>
                <w:rFonts w:ascii="仿宋_GB2312" w:hAnsi="仿宋_GB2312" w:cs="仿宋_GB2312" w:eastAsia="仿宋_GB2312"/>
                <w:sz w:val="20"/>
                <w:color w:val="0000FF"/>
              </w:rPr>
              <w:t>3个工作日内提交）、签到表（培训结束后1个工作日内提交）、培训总结报告（培训结束后3个工作日内提交），均提供纸质版1份+电子版1份</w:t>
            </w:r>
          </w:p>
          <w:p>
            <w:pPr>
              <w:pStyle w:val="null3"/>
              <w:ind w:firstLine="367"/>
              <w:jc w:val="left"/>
            </w:pPr>
            <w:r>
              <w:rPr>
                <w:rFonts w:ascii="仿宋_GB2312" w:hAnsi="仿宋_GB2312" w:cs="仿宋_GB2312" w:eastAsia="仿宋_GB2312"/>
                <w:sz w:val="20"/>
                <w:color w:val="0000FF"/>
              </w:rPr>
              <w:t>⑥定点</w:t>
            </w:r>
            <w:r>
              <w:rPr>
                <w:rFonts w:ascii="仿宋_GB2312" w:hAnsi="仿宋_GB2312" w:cs="仿宋_GB2312" w:eastAsia="仿宋_GB2312"/>
                <w:sz w:val="20"/>
                <w:color w:val="0000FF"/>
              </w:rPr>
              <w:t>服务：工作日志（每</w:t>
            </w:r>
            <w:r>
              <w:rPr>
                <w:rFonts w:ascii="仿宋_GB2312" w:hAnsi="仿宋_GB2312" w:cs="仿宋_GB2312" w:eastAsia="仿宋_GB2312"/>
                <w:sz w:val="20"/>
                <w:color w:val="0000FF"/>
              </w:rPr>
              <w:t>月</w:t>
            </w:r>
            <w:r>
              <w:rPr>
                <w:rFonts w:ascii="仿宋_GB2312" w:hAnsi="仿宋_GB2312" w:cs="仿宋_GB2312" w:eastAsia="仿宋_GB2312"/>
                <w:sz w:val="20"/>
                <w:color w:val="0000FF"/>
              </w:rPr>
              <w:t>提交）、事件处置记录（处置结束后</w:t>
            </w:r>
            <w:r>
              <w:rPr>
                <w:rFonts w:ascii="仿宋_GB2312" w:hAnsi="仿宋_GB2312" w:cs="仿宋_GB2312" w:eastAsia="仿宋_GB2312"/>
                <w:sz w:val="20"/>
                <w:color w:val="0000FF"/>
              </w:rPr>
              <w:t>24小时内提交）、月度/年度总结（月度次月3个工作日内、年度服务结束后15个工作日内提交），均提供纸质版1份+电子版1份</w:t>
            </w:r>
          </w:p>
          <w:p>
            <w:pPr>
              <w:pStyle w:val="null3"/>
            </w:pPr>
            <w:r>
              <w:rPr>
                <w:rFonts w:ascii="仿宋_GB2312" w:hAnsi="仿宋_GB2312" w:cs="仿宋_GB2312" w:eastAsia="仿宋_GB2312"/>
                <w:sz w:val="20"/>
                <w:color w:val="0000FF"/>
              </w:rPr>
              <w:t>⑦</w:t>
            </w:r>
            <w:r>
              <w:rPr>
                <w:rFonts w:ascii="仿宋_GB2312" w:hAnsi="仿宋_GB2312" w:cs="仿宋_GB2312" w:eastAsia="仿宋_GB2312"/>
                <w:sz w:val="20"/>
                <w:color w:val="0000FF"/>
              </w:rPr>
              <w:t>其他要求成果：每季度漏洞扫描</w:t>
            </w:r>
            <w:r>
              <w:rPr>
                <w:rFonts w:ascii="仿宋_GB2312" w:hAnsi="仿宋_GB2312" w:cs="仿宋_GB2312" w:eastAsia="仿宋_GB2312"/>
                <w:sz w:val="20"/>
                <w:color w:val="0000FF"/>
              </w:rPr>
              <w:t>/渗透测试报告（每季度结束后10个工作日内提交，每季度不少于</w:t>
            </w:r>
            <w:r>
              <w:rPr>
                <w:rFonts w:ascii="仿宋_GB2312" w:hAnsi="仿宋_GB2312" w:cs="仿宋_GB2312" w:eastAsia="仿宋_GB2312"/>
                <w:sz w:val="20"/>
                <w:color w:val="0000FF"/>
              </w:rPr>
              <w:t>1</w:t>
            </w:r>
            <w:r>
              <w:rPr>
                <w:rFonts w:ascii="仿宋_GB2312" w:hAnsi="仿宋_GB2312" w:cs="仿宋_GB2312" w:eastAsia="仿宋_GB2312"/>
                <w:sz w:val="20"/>
                <w:color w:val="0000FF"/>
              </w:rPr>
              <w:t>份）、应急响应工单及处置报告（事件处置结束后</w:t>
            </w:r>
            <w:r>
              <w:rPr>
                <w:rFonts w:ascii="仿宋_GB2312" w:hAnsi="仿宋_GB2312" w:cs="仿宋_GB2312" w:eastAsia="仿宋_GB2312"/>
                <w:sz w:val="20"/>
                <w:color w:val="0000FF"/>
              </w:rPr>
              <w:t>24小时内提交），均提供纸质版1份+电子版1份</w:t>
            </w:r>
            <w:r>
              <w:rPr>
                <w:rFonts w:ascii="仿宋_GB2312" w:hAnsi="仿宋_GB2312" w:cs="仿宋_GB2312" w:eastAsia="仿宋_GB2312"/>
                <w:sz w:val="20"/>
                <w:color w:val="0000FF"/>
              </w:rPr>
              <w:t>，服务结束后完成所有项目内容后，提交调查分析报告。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1、设置1名项目经理：具备丰富的经验，良好的沟通协调能力和团队合作精神，能够高效协同工作，确保项目有序运行； 2、项目团队建立完善：供应商应为本项目配备具备网络安全服务能力的技术人员，服务期内更换服务人员必须征得采购人同意，用于本项目的服务人员（含项目经理）不得少于7人。 3、另需2名安全技术人员在根据采购人要求定点服务。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设备配置满足本项目需求，包括但不限于配备执行项目所需的、计算机、软件、硬件等。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1、响应能力要求：采购人发生网络安全事件时，供应商应具备10分钟内响应，2个小时内到达现场进行处置的应急响应能力。 2、保密要求：供应商应严格遵守采购人有关保密规定，不得泄漏采购人的一切敏感信息，未经允许和授权，不得私自进行安全测试。 3、最终报价如出现异常低价，执行财库〔2026〕2号《关于推动解决政府采购异常低价问题的通知》，磋商小组可在最后报价审查表中审核是否通过审查。</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人要求执行，根据所服务的内容并按照所对应的法律法规、规范标准、技术规程等实施，在实施过程中，如果国家或有关部门颁布了新的技术标准或规范，则供应商应采用新的标准或规范进行实施。 执行标准根据（包括但不限于）以下质量标准进行： 1.《中华人民共和国网络安全法》； 2.《网络安全等级保护基本要求》（GB/T 22239-2019）； 3.《信息安全技术 网络安全应急响应指南》（GB/T 29639-2020）；</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供应商完成所有项目内容，提交调查分析报告，并经采购人验收合格后，付至合同总金额100%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3.4其他要求 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二、供应商的磋商报价是供应商响应磋商项目要求的全部工作内容的价格体现，包括供应商完成本项目所需的直接费、间接费、利润、税金及其他相关的一切费用。包括但不限于：人工费、设备费、维护费、网络安全检查费、管理费、网络安全培训费、验收费、采购代理服务费、利润和税金、其他费用等全部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以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四、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九、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提供2024年度或2025年度经审计的财务会计报告或其提交响应文件截止时间前3个月内银行出具的资信证明。（以上形式的资料提供任何一种即可）。 （1）供应商是企业法人的，应提供2024或2025全年度经审计的供应商财务报告，包括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供应商是小型企业的，应提供2024或2025全年度经审计的供应商财务报告，至少包括 《资产负债表》《利润表》《现金流量表》及其附注，或者提交响应文件截止时间前3个月内其基本账户开户银行出具的资信证明（附基本存款账户信息）；财政部关于印发《小企业会计准则》的通知（财会〔2011〕17号）； （2）供应商是事业单位法人的，应提供2024或2025全年度经审计的供应商财务报告，至少包括《资产负债表》《收入支出表或者收入费用表》《财政补助收入支出表》及其附注，或者提交响应文件截止时间前3个月内其基本账户开户银行出具的资信证明（附基本存款账户信息）； （3）部分其他组织和自然人，提供提交响应文件截止时间前3个月内银行出具的资信证明（附账户信息）；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资格证明部分.docx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合同包1(西安浐灞国际港2026年网络安全防护服务项目)特定资格要求如下:</w:t>
            </w:r>
          </w:p>
        </w:tc>
        <w:tc>
          <w:tcPr>
            <w:tcW w:type="dxa" w:w="3322"/>
          </w:tcPr>
          <w:p>
            <w:pPr>
              <w:pStyle w:val="null3"/>
            </w:pPr>
            <w:r>
              <w:rPr>
                <w:rFonts w:ascii="仿宋_GB2312" w:hAnsi="仿宋_GB2312" w:cs="仿宋_GB2312" w:eastAsia="仿宋_GB2312"/>
              </w:rPr>
              <w:t>(1)供应商的营业执照等证明文件，自然人的身份证明； (2)法定代表人（单位负责人）参加磋商的，提供本人身份证复印件；法定代表人（单位负责人）授权他人参加磋商的，提供法定代表人（单位负责人）委托授权书并出示被授权代表的身份证复印件以及2025年1月至今任意时段在本单位注册的已缴纳的社会保障资金缴存单据或社保机构开具的社会保险参保缴费情况证明； (3)提供2024年度或2025年度经审计的财务会计报告或其提交响应文件截止时间前3个月内银行出具的资信证明。 (4)提供供应商2025年1月至今已缴纳任意时段任意税种完税凭证或税务机关开具的完税证明（除个人所得税外，税法规定的任意税种）；依法免税的应提供相关文件证明； (5)提供供应商2025年1月至今任意时段已缴纳的社会保障资金缴存单据或社保机构开具的社会保险参保缴费情况证明；依法不需要缴纳社会保障资金的应提供相关文件证明； (6)具备履行合同所必需的设备和专业技术能力的证明； (7)参加本次磋商前3年内，在经营活动中没有重大违法记录的书面声明； (8)供应商不得被列入“信用中国”网站（https://www.creditchina.gov.cn/ ）“失信被执行人”（页面跳转至“中国执行信息公开网”http://zxgk.court.gov.cn/shixin/）、“重大税收违法失信主体”；不得处于中国政府采购网（http://www.ccgp.gov.cn/)“政府采购严重违法失信行为信息记录”中的禁止参加政府采购活动期间（以评审现场查询结果为准） ； (9)单位负责人为同一人或者存在直接控股、管理关系的不同供应商，不得参加同一合同项下的采购活动 (10)本项目不接受联合体磋商。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响应文件上法定代表人或其委托代理人的签名齐全并加盖单位章</w:t>
            </w:r>
          </w:p>
        </w:tc>
        <w:tc>
          <w:tcPr>
            <w:tcW w:type="dxa" w:w="1661"/>
          </w:tcPr>
          <w:p>
            <w:pPr>
              <w:pStyle w:val="null3"/>
            </w:pPr>
            <w:r>
              <w:rPr>
                <w:rFonts w:ascii="仿宋_GB2312" w:hAnsi="仿宋_GB2312" w:cs="仿宋_GB2312" w:eastAsia="仿宋_GB2312"/>
              </w:rPr>
              <w:t>响应文件封面 商务技术部分.docx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的报价明显低于其他实质性响应的供应商报价，有可能影响服务质量或者不能诚信履约的，磋商小组应当要求其在评审现场合理的时间内提供成本构成书面说明，并提交相关证明材料。书面说明应当按照国家财务会计制度的规定要求，逐项就供应商提供的服务的主营业务成本（应根据供应商企业类型予以区别）、税金及附加、销售费用、管理费用、财务费用等成本构成事项详细陈述。</w:t>
            </w:r>
          </w:p>
        </w:tc>
        <w:tc>
          <w:tcPr>
            <w:tcW w:type="dxa" w:w="1661"/>
          </w:tcPr>
          <w:p>
            <w:pPr>
              <w:pStyle w:val="null3"/>
            </w:pPr>
            <w:r>
              <w:rPr>
                <w:rFonts w:ascii="仿宋_GB2312" w:hAnsi="仿宋_GB2312" w:cs="仿宋_GB2312" w:eastAsia="仿宋_GB2312"/>
              </w:rPr>
              <w:t>报价表 商务技术部分.docx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响应文件封面 商务技术部分.docx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应符合磋商文件实质性要求的规定</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响应文件封面 商务技术部分.docx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具有2021年1月1日至今的类似网络安全服务业绩(以合同签订日期为准)，业绩以合同复印件为依据。每个业绩计2分，5个以上(含5个)计10分。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网络安全攻击自动化阻断服务技术响应</w:t>
            </w:r>
          </w:p>
        </w:tc>
        <w:tc>
          <w:tcPr>
            <w:tcW w:type="dxa" w:w="2492"/>
          </w:tcPr>
          <w:p>
            <w:pPr>
              <w:pStyle w:val="null3"/>
            </w:pPr>
            <w:r>
              <w:rPr>
                <w:rFonts w:ascii="仿宋_GB2312" w:hAnsi="仿宋_GB2312" w:cs="仿宋_GB2312" w:eastAsia="仿宋_GB2312"/>
              </w:rPr>
              <w:t>网络安全攻击自动化阻断服务技术响应（18分）： 一、评审内容 ①威胁情报赋能：系统多情报源接入，包含正向攻击、受控外联、IP画像及自定义情报源；正向攻击类情报覆盖金融、电力、能源、党政机关等30多个行业；情报源包含不少于3家国内安全厂商，类型含IP、URL、域名及IPv6格式情报。 ②网络攻击检测阻断：具备不少于46种情报防护类型（含SQL注入、XSS、Webshell等）；支持串联与旁路检测方式、802.1Q网络环境及IPv6检测；支持IP黑白名单精细化配置及旁路自动化阻断。 ③受控外联检测阻断：基于内到外流量自动化检测，支持APT组织、病毒木马等标签分类分析；检测环境与正向攻击一致，支持旁路自动化阻断恶意外联。 ④弱口令隐患检测：支持弱口令登录实时监测与阻断，可针对资产设置策略及自定义字典库。 ⑤溯源画像分析：支持多情报源基础属性画像（归属地、运营商等）及资产属性画像；提供最近三个月攻击轨迹溯源。 ⑥防护联动处置：支持通过Syslog（含加密）共享安全日志，支持通过API接口调用其他安全设备进行阻断。 ⑦多维度安全事件分析：支持攻击监测与外联检测多维度统计分析，具备详细风险审计与溯源能力。 ⑧访问控制：支持IP、URL黑白名单及访问控制策略配置，支持IPv6地址格式。 ⑨升级维护：提供威胁情报、检测规则实时更新及系统远程在线升级服务。； 二、评审标准 供应商针对以上九项内容逐一响应，并提供相应的功能证明材料（包括但不限于测试报告、官网和功能截图等）。 三、赋分依据（满分18分） 根据评审内容中①至⑨项：每项完全满足得2分，每项提供不全或存在缺失、不完整、表述模糊、前后矛盾、不符合常规要求或未提供得0分。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安全巡查监测服务方案</w:t>
            </w:r>
          </w:p>
        </w:tc>
        <w:tc>
          <w:tcPr>
            <w:tcW w:type="dxa" w:w="2492"/>
          </w:tcPr>
          <w:p>
            <w:pPr>
              <w:pStyle w:val="null3"/>
            </w:pPr>
            <w:r>
              <w:rPr>
                <w:rFonts w:ascii="仿宋_GB2312" w:hAnsi="仿宋_GB2312" w:cs="仿宋_GB2312" w:eastAsia="仿宋_GB2312"/>
              </w:rPr>
              <w:t>安全巡查监测服务方案（18分）： 一、评审内容 供应商针对本项目提供的安全巡查监测服务方案，包括但不限于： ①巡查内容覆盖：文本违规监测、图片违规监测、视频违规监测等； ②违规类型监测：包含涉政治、涉色情、涉博彩、涉暴恐等各类违规类型； ③属地管理：属地网站信息统计、网站备案信息批量查询、属地直播账号平台信息统计； ④自动化取证：发现违法违规内容，可自动截图、保存源码，实现证据固定； ⑤应急排查：可配合网络安全事件或社会热点事件，快速扫描属地网站相关信息，排查风险； ⑥巡查保障：内容巡查监测系统实现7x24小时不间断巡查监测，确保违规内容不遗漏； 二、评审标准 1、完善性：方案必须全面，对评审内容中的各项要求有详细阐述； 2、可实施性：切合本项目实际情况，提出步骤清晰、合理的方案； 3、针对性：方案能够紧扣项目实际情况，内容合理，可满足采购人需求。 三、赋分依据（满分18分） 根据评审内容中①至⑥项：每完全满足一个评审标准得1分，每项提供不全或存在缺失、不完整、表述模糊、前后矛盾、不符合常规要求得0.5分，单项满分3分，未提供得0分。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网络安全检查监管方案</w:t>
            </w:r>
          </w:p>
        </w:tc>
        <w:tc>
          <w:tcPr>
            <w:tcW w:type="dxa" w:w="2492"/>
          </w:tcPr>
          <w:p>
            <w:pPr>
              <w:pStyle w:val="null3"/>
            </w:pPr>
            <w:r>
              <w:rPr>
                <w:rFonts w:ascii="仿宋_GB2312" w:hAnsi="仿宋_GB2312" w:cs="仿宋_GB2312" w:eastAsia="仿宋_GB2312"/>
              </w:rPr>
              <w:t>网络安全检查监管方案（9分）： 一、评审内容 供应商针对本项目提供的网络安全检查监管方案，包括但不限于： ①检查网站页面内容完整、不被篡改； ②检查整体网络的 SQL 注入、XSS、非法访问、信息泄露等漏洞，从而提前解决潜在风险； ③检查网络安全管理制度是否完善，网络安全资料存储是否完善，提前完善相关责任制度； 二、评审标准 1、完善性：方案必须全面，对评审内容中的各项要求有详细阐述； 2、可实施性：切合本项目实际情况，提出步骤清晰、合理的方案； 3、针对性：方案能够紧扣项目实际情况，内容合理，可满足采购人需求。 三、赋分依据（满分9分） 根据评审内容中①至③项：每完全满足一个评审标准得1分，每项提供不全或存在缺失、不完整、表述模糊、前后矛盾、不符合常规要求得0.5分，单项满分3分，未提供得0分。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应急演练方案</w:t>
            </w:r>
          </w:p>
        </w:tc>
        <w:tc>
          <w:tcPr>
            <w:tcW w:type="dxa" w:w="2492"/>
          </w:tcPr>
          <w:p>
            <w:pPr>
              <w:pStyle w:val="null3"/>
            </w:pPr>
            <w:r>
              <w:rPr>
                <w:rFonts w:ascii="仿宋_GB2312" w:hAnsi="仿宋_GB2312" w:cs="仿宋_GB2312" w:eastAsia="仿宋_GB2312"/>
              </w:rPr>
              <w:t>应急演练方案（满分4分）： 1、应急演练方案合理，描述清晰，且能针对性满足项目需求的得4分； 2、应急演练方案合理，但陈述简单，缺乏针对性的得3分； 3、应急演练方案笼统，但基本满足采购需求的得2分； 4、虽进行了陈述，但陈述内容缺失严重，或未结合项目情况进行论述，偏差明显的得1分 5 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网络安全培训方案</w:t>
            </w:r>
          </w:p>
        </w:tc>
        <w:tc>
          <w:tcPr>
            <w:tcW w:type="dxa" w:w="2492"/>
          </w:tcPr>
          <w:p>
            <w:pPr>
              <w:pStyle w:val="null3"/>
            </w:pPr>
            <w:r>
              <w:rPr>
                <w:rFonts w:ascii="仿宋_GB2312" w:hAnsi="仿宋_GB2312" w:cs="仿宋_GB2312" w:eastAsia="仿宋_GB2312"/>
              </w:rPr>
              <w:t>网络安全培训方案（满分4分）： 1、培训方案合理，明确聘请专业网络安全专家，全年不少于2次全区网络安全培训，培训课件、签到表、总结报告等成果齐全，描述清晰且针对性满足项目需求的得4分； 2、培训方案合理，明确培训次数及专家要求，但成果要求陈述简单、缺乏针对性的得3分； 3、培训方案笼统，仅明确培训次数，未明确专家要求及成果输出，基本满足采购需求的得2分； 4、虽进行了陈述，但未明确培训次数、专家要求，内容缺失严重，或未结合项目情况论述的得1分；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定点服务方案</w:t>
            </w:r>
          </w:p>
        </w:tc>
        <w:tc>
          <w:tcPr>
            <w:tcW w:type="dxa" w:w="2492"/>
          </w:tcPr>
          <w:p>
            <w:pPr>
              <w:pStyle w:val="null3"/>
            </w:pPr>
            <w:r>
              <w:rPr>
                <w:rFonts w:ascii="仿宋_GB2312" w:hAnsi="仿宋_GB2312" w:cs="仿宋_GB2312" w:eastAsia="仿宋_GB2312"/>
              </w:rPr>
              <w:t>定点服务方案（满分4分）： 1、定点服务方案合理，明确2名安全专家定点办公，能力、工具使用、文字总结、管理要求均满足，方案清晰针对性强得4分； 2、定点服务方案合理，明确2名定点专家及核心要求，但陈述简单、缺乏针对性的得3分； 3、定点服务方案笼统，仅明确定点办公人数，未明确专家能力要求及办公规范，基本满足采购需求的得2分； 4、虽进行了陈述，但未明确定点服务人数或专家能力要求，内容缺失严重，或未结合项目情况论述的得1分；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项目团队方案</w:t>
            </w:r>
          </w:p>
        </w:tc>
        <w:tc>
          <w:tcPr>
            <w:tcW w:type="dxa" w:w="2492"/>
          </w:tcPr>
          <w:p>
            <w:pPr>
              <w:pStyle w:val="null3"/>
            </w:pPr>
            <w:r>
              <w:rPr>
                <w:rFonts w:ascii="仿宋_GB2312" w:hAnsi="仿宋_GB2312" w:cs="仿宋_GB2312" w:eastAsia="仿宋_GB2312"/>
              </w:rPr>
              <w:t>项目团队方案（满分4分） ： 1、人员安排合理，明确配备不少于7名具备网络安全服务能力的技术人员，设置1名经验丰富、沟通协调能力强的项目经理，团队架构完善，描述清晰且针对性满足项目需求的得4； 2、方案合理，但陈述简单，缺乏针对性的得3分； 3、方案笼统，但基本满足采购需求的得2分； 4、方案缺失严重，或未结合项目情况进行论述得1分；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设备、工具配备方案</w:t>
            </w:r>
          </w:p>
        </w:tc>
        <w:tc>
          <w:tcPr>
            <w:tcW w:type="dxa" w:w="2492"/>
          </w:tcPr>
          <w:p>
            <w:pPr>
              <w:pStyle w:val="null3"/>
            </w:pPr>
            <w:r>
              <w:rPr>
                <w:rFonts w:ascii="仿宋_GB2312" w:hAnsi="仿宋_GB2312" w:cs="仿宋_GB2312" w:eastAsia="仿宋_GB2312"/>
              </w:rPr>
              <w:t>设备、工具配备方案（满分4分） ： 1、方案合理，描述清晰，且能针对性满足项目需求的得4分； 2、方案合理，但陈述简单，缺乏针对性的得3分； 3、方案笼统，但基本满足采购需求的得2分； 4、方案缺失严重，或未结合项目情况进行论述得1分；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技术服务档案</w:t>
            </w:r>
          </w:p>
        </w:tc>
        <w:tc>
          <w:tcPr>
            <w:tcW w:type="dxa" w:w="2492"/>
          </w:tcPr>
          <w:p>
            <w:pPr>
              <w:pStyle w:val="null3"/>
            </w:pPr>
            <w:r>
              <w:rPr>
                <w:rFonts w:ascii="仿宋_GB2312" w:hAnsi="仿宋_GB2312" w:cs="仿宋_GB2312" w:eastAsia="仿宋_GB2312"/>
              </w:rPr>
              <w:t>针对本项目的技术服务档案的编制计划（满分4分） 1、结合项目需求，供应商应提供技术服务档案编制计划。 阐述内容详尽具体，实施细节及措施合理完善，针对性可实施性强，与本项目结合紧密完全满足采购需求，得4分； 2、虽进行了阐述，但阐述内容不够详尽具体，或针对性不够强，总体上满足采购需求，细节待完善，得3分； 3、虽进行了阐述，但阐述内容有所缺失，或实施细节及措施不合理不完善，或缺乏针对性，或缺乏可实施性，得2分； 4、虽进行了阐述，但阐述内容缺失严重，或未结合项目情况进行论述，偏差明显的得1分； 5、未提供得0分。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保密措施（满分6分）： 针对本项目制定保密措施 1、保密措施合理，描述清晰，且能针对性满足项目需求的得6分； 2、保密措施合理，但陈述简单，缺乏针对性的得4分； 3、方案笼统，但基本满足采购需求的得2分； 4、保密措施笼统的得1分； 5、未提供得0分。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商务技术部分.docx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