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D6D6E">
      <w:pPr>
        <w:pStyle w:val="3"/>
        <w:numPr>
          <w:ilvl w:val="0"/>
          <w:numId w:val="0"/>
        </w:numPr>
        <w:jc w:val="center"/>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rPr>
        <w:t>拟签订的合同</w:t>
      </w:r>
      <w:bookmarkStart w:id="0" w:name="_Hlt487972895"/>
      <w:bookmarkEnd w:id="0"/>
      <w:bookmarkStart w:id="1" w:name="_Toc487900382"/>
      <w:bookmarkStart w:id="2" w:name="_Toc216513788"/>
      <w:r>
        <w:rPr>
          <w:rFonts w:hint="eastAsia" w:asciiTheme="majorEastAsia" w:hAnsiTheme="majorEastAsia" w:eastAsiaTheme="majorEastAsia" w:cstheme="majorEastAsia"/>
          <w:b/>
          <w:bCs/>
          <w:color w:val="auto"/>
          <w:sz w:val="32"/>
          <w:szCs w:val="32"/>
          <w:highlight w:val="none"/>
        </w:rPr>
        <w:t>文本</w:t>
      </w:r>
      <w:bookmarkEnd w:id="1"/>
      <w:bookmarkEnd w:id="2"/>
    </w:p>
    <w:p w14:paraId="2B987406">
      <w:pPr>
        <w:rPr>
          <w:rFonts w:hint="eastAsia" w:asciiTheme="majorEastAsia" w:hAnsiTheme="majorEastAsia" w:eastAsiaTheme="majorEastAsia" w:cstheme="majorEastAsia"/>
          <w:color w:val="auto"/>
          <w:highlight w:val="none"/>
          <w:lang w:val="zh-CN"/>
        </w:rPr>
      </w:pPr>
    </w:p>
    <w:p w14:paraId="05F2C279">
      <w:pPr>
        <w:pStyle w:val="2"/>
        <w:rPr>
          <w:rFonts w:hint="eastAsia" w:asciiTheme="majorEastAsia" w:hAnsiTheme="majorEastAsia" w:eastAsiaTheme="majorEastAsia" w:cstheme="majorEastAsia"/>
          <w:color w:val="auto"/>
          <w:highlight w:val="none"/>
          <w:lang w:val="zh-CN"/>
        </w:rPr>
      </w:pPr>
    </w:p>
    <w:p w14:paraId="6D0C2DED">
      <w:pPr>
        <w:pStyle w:val="5"/>
        <w:rPr>
          <w:rFonts w:hint="eastAsia" w:asciiTheme="majorEastAsia" w:hAnsiTheme="majorEastAsia" w:eastAsiaTheme="majorEastAsia" w:cstheme="majorEastAsia"/>
          <w:color w:val="auto"/>
          <w:highlight w:val="none"/>
          <w:lang w:val="zh-CN"/>
        </w:rPr>
      </w:pPr>
    </w:p>
    <w:p w14:paraId="3C48BC9B">
      <w:pPr>
        <w:pStyle w:val="5"/>
        <w:rPr>
          <w:rFonts w:hint="eastAsia" w:asciiTheme="majorEastAsia" w:hAnsiTheme="majorEastAsia" w:eastAsiaTheme="majorEastAsia" w:cstheme="majorEastAsia"/>
          <w:color w:val="auto"/>
          <w:highlight w:val="none"/>
          <w:lang w:val="zh-CN"/>
        </w:rPr>
      </w:pPr>
    </w:p>
    <w:p w14:paraId="49DB0D39">
      <w:pPr>
        <w:pStyle w:val="5"/>
        <w:rPr>
          <w:rFonts w:hint="eastAsia" w:asciiTheme="majorEastAsia" w:hAnsiTheme="majorEastAsia" w:eastAsiaTheme="majorEastAsia" w:cstheme="majorEastAsia"/>
          <w:color w:val="auto"/>
          <w:highlight w:val="none"/>
          <w:lang w:val="zh-CN"/>
        </w:rPr>
      </w:pPr>
    </w:p>
    <w:p w14:paraId="3C8DDE6E">
      <w:pPr>
        <w:rPr>
          <w:rFonts w:hint="eastAsia" w:asciiTheme="majorEastAsia" w:hAnsiTheme="majorEastAsia" w:eastAsiaTheme="majorEastAsia" w:cstheme="majorEastAsia"/>
          <w:b/>
          <w:bCs/>
          <w:color w:val="auto"/>
          <w:sz w:val="36"/>
          <w:szCs w:val="36"/>
          <w:highlight w:val="none"/>
          <w:lang w:val="zh-CN"/>
        </w:rPr>
      </w:pPr>
    </w:p>
    <w:p w14:paraId="6AE3A73C">
      <w:pPr>
        <w:pStyle w:val="2"/>
        <w:tabs>
          <w:tab w:val="left" w:pos="567"/>
        </w:tabs>
        <w:jc w:val="center"/>
        <w:rPr>
          <w:rFonts w:hint="eastAsia" w:asciiTheme="majorEastAsia" w:hAnsiTheme="majorEastAsia" w:eastAsiaTheme="majorEastAsia" w:cstheme="majorEastAsia"/>
          <w:b/>
          <w:bCs/>
          <w:color w:val="auto"/>
          <w:sz w:val="36"/>
          <w:szCs w:val="36"/>
          <w:highlight w:val="none"/>
          <w:lang w:eastAsia="zh-CN"/>
        </w:rPr>
      </w:pPr>
      <w:r>
        <w:rPr>
          <w:rFonts w:hint="eastAsia" w:asciiTheme="majorEastAsia" w:hAnsiTheme="majorEastAsia" w:eastAsiaTheme="majorEastAsia" w:cstheme="majorEastAsia"/>
          <w:b/>
          <w:bCs/>
          <w:color w:val="auto"/>
          <w:sz w:val="36"/>
          <w:szCs w:val="36"/>
          <w:highlight w:val="none"/>
          <w:lang w:eastAsia="zh-CN"/>
        </w:rPr>
        <w:t>西安浐灞国际港2026年网络安全防护服务项目</w:t>
      </w:r>
    </w:p>
    <w:p w14:paraId="008260E3">
      <w:pPr>
        <w:jc w:val="center"/>
        <w:rPr>
          <w:rFonts w:hint="eastAsia" w:asciiTheme="majorEastAsia" w:hAnsiTheme="majorEastAsia" w:eastAsiaTheme="majorEastAsia" w:cstheme="majorEastAsia"/>
          <w:b/>
          <w:color w:val="auto"/>
          <w:sz w:val="52"/>
          <w:szCs w:val="52"/>
          <w:highlight w:val="none"/>
        </w:rPr>
      </w:pPr>
    </w:p>
    <w:p w14:paraId="3325610C">
      <w:pPr>
        <w:rPr>
          <w:rFonts w:hint="eastAsia" w:asciiTheme="majorEastAsia" w:hAnsiTheme="majorEastAsia" w:eastAsiaTheme="majorEastAsia" w:cstheme="majorEastAsia"/>
          <w:color w:val="auto"/>
          <w:highlight w:val="none"/>
        </w:rPr>
      </w:pPr>
    </w:p>
    <w:p w14:paraId="260A2E44">
      <w:pPr>
        <w:shd w:val="clear" w:color="auto" w:fill="auto"/>
        <w:spacing w:line="360" w:lineRule="auto"/>
        <w:jc w:val="center"/>
        <w:rPr>
          <w:rFonts w:hint="eastAsia" w:ascii="宋体" w:hAnsi="宋体" w:eastAsia="宋体" w:cs="宋体"/>
          <w:b/>
          <w:spacing w:val="-20"/>
          <w:sz w:val="48"/>
          <w:szCs w:val="48"/>
          <w:highlight w:val="none"/>
        </w:rPr>
      </w:pPr>
      <w:r>
        <w:rPr>
          <w:rFonts w:hint="eastAsia" w:ascii="宋体" w:hAnsi="宋体" w:eastAsia="宋体" w:cs="宋体"/>
          <w:b/>
          <w:spacing w:val="-20"/>
          <w:sz w:val="48"/>
          <w:szCs w:val="48"/>
          <w:highlight w:val="none"/>
        </w:rPr>
        <w:t>合 同 主 要 条 款</w:t>
      </w:r>
    </w:p>
    <w:p w14:paraId="0BE675AF">
      <w:pPr>
        <w:shd w:val="clear" w:color="auto" w:fill="auto"/>
        <w:spacing w:line="540" w:lineRule="exact"/>
        <w:jc w:val="center"/>
        <w:rPr>
          <w:rFonts w:hint="eastAsia" w:ascii="宋体" w:hAnsi="宋体" w:eastAsia="宋体" w:cs="宋体"/>
          <w:b/>
          <w:kern w:val="0"/>
          <w:sz w:val="52"/>
          <w:szCs w:val="52"/>
          <w:highlight w:val="none"/>
        </w:rPr>
      </w:pPr>
      <w:r>
        <w:rPr>
          <w:rFonts w:hint="eastAsia" w:ascii="宋体" w:hAnsi="宋体" w:eastAsia="宋体" w:cs="宋体"/>
          <w:b/>
          <w:kern w:val="0"/>
          <w:szCs w:val="21"/>
          <w:highlight w:val="none"/>
        </w:rPr>
        <w:t>（本格式条款供双方签订合同参考，采购人可根据项目的实际情况增加条款和内容）</w:t>
      </w:r>
    </w:p>
    <w:p w14:paraId="2B2C3A88">
      <w:pPr>
        <w:shd w:val="clear" w:color="auto" w:fill="auto"/>
        <w:spacing w:line="560" w:lineRule="exact"/>
        <w:jc w:val="center"/>
        <w:rPr>
          <w:rFonts w:hint="eastAsia" w:ascii="宋体" w:hAnsi="宋体" w:eastAsia="宋体" w:cs="宋体"/>
          <w:b/>
          <w:kern w:val="0"/>
          <w:sz w:val="36"/>
          <w:szCs w:val="36"/>
          <w:highlight w:val="none"/>
        </w:rPr>
      </w:pPr>
    </w:p>
    <w:p w14:paraId="6ACD461B">
      <w:pPr>
        <w:shd w:val="clear" w:color="auto" w:fill="auto"/>
        <w:spacing w:line="560" w:lineRule="exact"/>
        <w:jc w:val="center"/>
        <w:rPr>
          <w:rFonts w:hint="eastAsia" w:ascii="宋体" w:hAnsi="宋体" w:eastAsia="宋体" w:cs="宋体"/>
          <w:b/>
          <w:kern w:val="0"/>
          <w:sz w:val="36"/>
          <w:szCs w:val="36"/>
          <w:highlight w:val="none"/>
        </w:rPr>
      </w:pPr>
      <w:r>
        <w:rPr>
          <w:rFonts w:hint="eastAsia" w:ascii="宋体" w:hAnsi="宋体" w:eastAsia="宋体" w:cs="宋体"/>
          <w:b/>
          <w:kern w:val="0"/>
          <w:sz w:val="36"/>
          <w:szCs w:val="36"/>
          <w:highlight w:val="none"/>
        </w:rPr>
        <w:t>合同编号：XXXX</w:t>
      </w:r>
    </w:p>
    <w:p w14:paraId="7EBAD0F1">
      <w:pPr>
        <w:jc w:val="center"/>
        <w:rPr>
          <w:rFonts w:hint="eastAsia" w:asciiTheme="majorEastAsia" w:hAnsiTheme="majorEastAsia" w:eastAsiaTheme="majorEastAsia" w:cstheme="majorEastAsia"/>
          <w:b/>
          <w:color w:val="auto"/>
          <w:sz w:val="48"/>
          <w:szCs w:val="48"/>
          <w:highlight w:val="none"/>
        </w:rPr>
      </w:pPr>
    </w:p>
    <w:p w14:paraId="775FBF9E">
      <w:pPr>
        <w:rPr>
          <w:rFonts w:hint="eastAsia" w:asciiTheme="majorEastAsia" w:hAnsiTheme="majorEastAsia" w:eastAsiaTheme="majorEastAsia" w:cstheme="majorEastAsia"/>
          <w:b/>
          <w:color w:val="auto"/>
          <w:highlight w:val="none"/>
        </w:rPr>
      </w:pPr>
    </w:p>
    <w:p w14:paraId="188D53D7">
      <w:pPr>
        <w:rPr>
          <w:rFonts w:hint="eastAsia" w:asciiTheme="majorEastAsia" w:hAnsiTheme="majorEastAsia" w:eastAsiaTheme="majorEastAsia" w:cstheme="majorEastAsia"/>
          <w:b/>
          <w:color w:val="auto"/>
          <w:highlight w:val="none"/>
        </w:rPr>
      </w:pPr>
    </w:p>
    <w:p w14:paraId="3C890F6B">
      <w:pPr>
        <w:rPr>
          <w:rFonts w:hint="eastAsia" w:asciiTheme="majorEastAsia" w:hAnsiTheme="majorEastAsia" w:eastAsiaTheme="majorEastAsia" w:cstheme="majorEastAsia"/>
          <w:b/>
          <w:color w:val="auto"/>
          <w:highlight w:val="none"/>
        </w:rPr>
      </w:pPr>
    </w:p>
    <w:p w14:paraId="7A8DC274">
      <w:pPr>
        <w:rPr>
          <w:rFonts w:hint="eastAsia" w:asciiTheme="majorEastAsia" w:hAnsiTheme="majorEastAsia" w:eastAsiaTheme="majorEastAsia" w:cstheme="majorEastAsia"/>
          <w:b/>
          <w:color w:val="auto"/>
          <w:highlight w:val="none"/>
        </w:rPr>
      </w:pPr>
    </w:p>
    <w:p w14:paraId="10176724">
      <w:pPr>
        <w:rPr>
          <w:rFonts w:hint="eastAsia" w:asciiTheme="majorEastAsia" w:hAnsiTheme="majorEastAsia" w:eastAsiaTheme="majorEastAsia" w:cstheme="majorEastAsia"/>
          <w:b/>
          <w:color w:val="auto"/>
          <w:highlight w:val="none"/>
        </w:rPr>
      </w:pPr>
    </w:p>
    <w:p w14:paraId="4B892EFA">
      <w:pPr>
        <w:rPr>
          <w:rFonts w:hint="eastAsia" w:asciiTheme="majorEastAsia" w:hAnsiTheme="majorEastAsia" w:eastAsiaTheme="majorEastAsia" w:cstheme="majorEastAsia"/>
          <w:b/>
          <w:color w:val="auto"/>
          <w:highlight w:val="none"/>
        </w:rPr>
      </w:pPr>
    </w:p>
    <w:p w14:paraId="6D8ED8AB">
      <w:pPr>
        <w:rPr>
          <w:rFonts w:hint="eastAsia" w:asciiTheme="majorEastAsia" w:hAnsiTheme="majorEastAsia" w:eastAsiaTheme="majorEastAsia" w:cstheme="majorEastAsia"/>
          <w:color w:val="auto"/>
          <w:highlight w:val="none"/>
        </w:rPr>
      </w:pPr>
    </w:p>
    <w:p w14:paraId="1C5F5573">
      <w:pPr>
        <w:rPr>
          <w:rFonts w:hint="eastAsia" w:asciiTheme="majorEastAsia" w:hAnsiTheme="majorEastAsia" w:eastAsiaTheme="majorEastAsia" w:cstheme="majorEastAsia"/>
          <w:b/>
          <w:color w:val="auto"/>
          <w:highlight w:val="none"/>
        </w:rPr>
      </w:pPr>
    </w:p>
    <w:p w14:paraId="6FCE6322">
      <w:pPr>
        <w:pStyle w:val="2"/>
        <w:tabs>
          <w:tab w:val="left" w:pos="567"/>
        </w:tabs>
        <w:rPr>
          <w:rFonts w:hint="eastAsia" w:asciiTheme="majorEastAsia" w:hAnsiTheme="majorEastAsia" w:eastAsiaTheme="majorEastAsia" w:cstheme="majorEastAsia"/>
          <w:color w:val="auto"/>
          <w:highlight w:val="none"/>
        </w:rPr>
      </w:pPr>
    </w:p>
    <w:p w14:paraId="0902F64A">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p>
    <w:p w14:paraId="69884479">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rPr>
        <w:t>甲方(</w:t>
      </w:r>
      <w:r>
        <w:rPr>
          <w:rFonts w:hint="eastAsia" w:asciiTheme="majorEastAsia" w:hAnsiTheme="majorEastAsia" w:eastAsiaTheme="majorEastAsia" w:cstheme="majorEastAsia"/>
          <w:b/>
          <w:color w:val="auto"/>
          <w:spacing w:val="23"/>
          <w:sz w:val="32"/>
          <w:szCs w:val="32"/>
          <w:highlight w:val="none"/>
        </w:rPr>
        <w:fldChar w:fldCharType="begin"/>
      </w:r>
      <w:r>
        <w:rPr>
          <w:rFonts w:hint="eastAsia" w:asciiTheme="majorEastAsia" w:hAnsiTheme="majorEastAsia" w:eastAsiaTheme="majorEastAsia" w:cstheme="majorEastAsia"/>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Theme="majorEastAsia" w:hAnsiTheme="majorEastAsia" w:eastAsiaTheme="majorEastAsia" w:cstheme="majorEastAsia"/>
          <w:b/>
          <w:color w:val="auto"/>
          <w:spacing w:val="23"/>
          <w:sz w:val="32"/>
          <w:szCs w:val="32"/>
          <w:highlight w:val="none"/>
        </w:rPr>
        <w:fldChar w:fldCharType="separate"/>
      </w:r>
      <w:r>
        <w:rPr>
          <w:rFonts w:hint="eastAsia" w:asciiTheme="majorEastAsia" w:hAnsiTheme="majorEastAsia" w:eastAsiaTheme="majorEastAsia" w:cstheme="majorEastAsia"/>
          <w:b/>
          <w:color w:val="auto"/>
          <w:spacing w:val="23"/>
          <w:sz w:val="32"/>
          <w:szCs w:val="32"/>
          <w:highlight w:val="none"/>
        </w:rPr>
        <w:t>采购人</w:t>
      </w:r>
      <w:r>
        <w:rPr>
          <w:rFonts w:hint="eastAsia" w:asciiTheme="majorEastAsia" w:hAnsiTheme="majorEastAsia" w:eastAsiaTheme="majorEastAsia" w:cstheme="majorEastAsia"/>
          <w:b/>
          <w:color w:val="auto"/>
          <w:spacing w:val="23"/>
          <w:sz w:val="32"/>
          <w:szCs w:val="32"/>
          <w:highlight w:val="none"/>
        </w:rPr>
        <w:fldChar w:fldCharType="end"/>
      </w:r>
      <w:r>
        <w:rPr>
          <w:rFonts w:hint="eastAsia" w:asciiTheme="majorEastAsia" w:hAnsiTheme="majorEastAsia" w:eastAsiaTheme="majorEastAsia" w:cstheme="majorEastAsia"/>
          <w:b/>
          <w:color w:val="auto"/>
          <w:spacing w:val="23"/>
          <w:sz w:val="32"/>
          <w:szCs w:val="32"/>
          <w:highlight w:val="none"/>
        </w:rPr>
        <w:t>)：</w:t>
      </w:r>
      <w:r>
        <w:rPr>
          <w:rFonts w:hint="eastAsia" w:asciiTheme="majorEastAsia" w:hAnsiTheme="majorEastAsia" w:eastAsiaTheme="majorEastAsia" w:cstheme="majorEastAsia"/>
          <w:color w:val="auto"/>
          <w:spacing w:val="23"/>
          <w:sz w:val="28"/>
          <w:szCs w:val="28"/>
          <w:highlight w:val="none"/>
          <w:u w:val="single"/>
        </w:rPr>
        <w:t></w:t>
      </w:r>
    </w:p>
    <w:p w14:paraId="2B284554">
      <w:pPr>
        <w:spacing w:line="360" w:lineRule="auto"/>
        <w:ind w:left="1285" w:hanging="1469" w:hangingChars="400"/>
        <w:jc w:val="center"/>
        <w:rPr>
          <w:rFonts w:hint="eastAsia" w:asciiTheme="majorEastAsia" w:hAnsiTheme="majorEastAsia" w:eastAsiaTheme="majorEastAsia" w:cstheme="majorEastAsia"/>
          <w:color w:val="auto"/>
          <w:spacing w:val="23"/>
          <w:sz w:val="28"/>
          <w:szCs w:val="28"/>
          <w:highlight w:val="none"/>
          <w:u w:val="single"/>
        </w:rPr>
      </w:pPr>
      <w:r>
        <w:rPr>
          <w:rFonts w:hint="eastAsia" w:asciiTheme="majorEastAsia" w:hAnsiTheme="majorEastAsia" w:eastAsiaTheme="majorEastAsia" w:cstheme="majorEastAsia"/>
          <w:b/>
          <w:color w:val="auto"/>
          <w:spacing w:val="23"/>
          <w:sz w:val="32"/>
          <w:szCs w:val="32"/>
          <w:highlight w:val="none"/>
        </w:rPr>
        <w:fldChar w:fldCharType="begin"/>
      </w:r>
      <w:r>
        <w:rPr>
          <w:rFonts w:hint="eastAsia" w:asciiTheme="majorEastAsia" w:hAnsiTheme="majorEastAsia" w:eastAsiaTheme="majorEastAsia" w:cstheme="majorEastAsia"/>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Theme="majorEastAsia" w:hAnsiTheme="majorEastAsia" w:eastAsiaTheme="majorEastAsia" w:cstheme="majorEastAsia"/>
          <w:b/>
          <w:color w:val="auto"/>
          <w:spacing w:val="23"/>
          <w:sz w:val="32"/>
          <w:szCs w:val="32"/>
          <w:highlight w:val="none"/>
        </w:rPr>
        <w:fldChar w:fldCharType="separate"/>
      </w:r>
      <w:r>
        <w:rPr>
          <w:rFonts w:hint="eastAsia" w:asciiTheme="majorEastAsia" w:hAnsiTheme="majorEastAsia" w:eastAsiaTheme="majorEastAsia" w:cstheme="majorEastAsia"/>
          <w:b/>
          <w:color w:val="auto"/>
          <w:spacing w:val="23"/>
          <w:sz w:val="32"/>
          <w:szCs w:val="32"/>
          <w:highlight w:val="none"/>
        </w:rPr>
        <w:t>乙方</w:t>
      </w:r>
      <w:r>
        <w:rPr>
          <w:rFonts w:hint="eastAsia" w:asciiTheme="majorEastAsia" w:hAnsiTheme="majorEastAsia" w:eastAsiaTheme="majorEastAsia" w:cstheme="majorEastAsia"/>
          <w:b/>
          <w:color w:val="auto"/>
          <w:spacing w:val="23"/>
          <w:sz w:val="32"/>
          <w:szCs w:val="32"/>
          <w:highlight w:val="none"/>
        </w:rPr>
        <w:fldChar w:fldCharType="end"/>
      </w:r>
      <w:r>
        <w:rPr>
          <w:rFonts w:hint="eastAsia" w:asciiTheme="majorEastAsia" w:hAnsiTheme="majorEastAsia" w:eastAsiaTheme="majorEastAsia" w:cstheme="majorEastAsia"/>
          <w:b/>
          <w:color w:val="auto"/>
          <w:spacing w:val="23"/>
          <w:sz w:val="32"/>
          <w:szCs w:val="32"/>
          <w:highlight w:val="none"/>
        </w:rPr>
        <w:t>(供应商)：</w:t>
      </w:r>
      <w:r>
        <w:rPr>
          <w:rFonts w:hint="eastAsia" w:asciiTheme="majorEastAsia" w:hAnsiTheme="majorEastAsia" w:eastAsiaTheme="majorEastAsia" w:cstheme="majorEastAsia"/>
          <w:color w:val="auto"/>
          <w:spacing w:val="23"/>
          <w:sz w:val="28"/>
          <w:szCs w:val="28"/>
          <w:highlight w:val="none"/>
          <w:u w:val="single"/>
        </w:rPr>
        <w:t></w:t>
      </w:r>
    </w:p>
    <w:p w14:paraId="6DFCE0AE">
      <w:pPr>
        <w:spacing w:line="360" w:lineRule="auto"/>
        <w:ind w:left="1469" w:hanging="1469" w:hangingChars="400"/>
        <w:jc w:val="cente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lang w:val="en-US" w:eastAsia="zh-CN"/>
        </w:rPr>
        <w:t xml:space="preserve">  </w:t>
      </w:r>
      <w:r>
        <w:rPr>
          <w:rFonts w:hint="eastAsia" w:asciiTheme="majorEastAsia" w:hAnsiTheme="majorEastAsia" w:eastAsiaTheme="majorEastAsia" w:cstheme="majorEastAsia"/>
          <w:b/>
          <w:color w:val="auto"/>
          <w:spacing w:val="23"/>
          <w:sz w:val="32"/>
          <w:szCs w:val="32"/>
          <w:highlight w:val="none"/>
        </w:rPr>
        <w:t>签订时间：年月日</w:t>
      </w:r>
    </w:p>
    <w:p w14:paraId="57F11794">
      <w:pPr>
        <w:rPr>
          <w:rFonts w:hint="eastAsia" w:asciiTheme="majorEastAsia" w:hAnsiTheme="majorEastAsia" w:eastAsiaTheme="majorEastAsia" w:cstheme="majorEastAsia"/>
          <w:b/>
          <w:color w:val="auto"/>
          <w:spacing w:val="23"/>
          <w:sz w:val="32"/>
          <w:szCs w:val="32"/>
          <w:highlight w:val="none"/>
        </w:rPr>
      </w:pPr>
      <w:r>
        <w:rPr>
          <w:rFonts w:hint="eastAsia" w:asciiTheme="majorEastAsia" w:hAnsiTheme="majorEastAsia" w:eastAsiaTheme="majorEastAsia" w:cstheme="majorEastAsia"/>
          <w:b/>
          <w:color w:val="auto"/>
          <w:spacing w:val="23"/>
          <w:sz w:val="32"/>
          <w:szCs w:val="32"/>
          <w:highlight w:val="none"/>
        </w:rPr>
        <w:br w:type="page"/>
      </w:r>
    </w:p>
    <w:p w14:paraId="429A39B5">
      <w:pPr>
        <w:widowControl/>
        <w:ind w:firstLine="3373" w:firstLineChars="700"/>
        <w:jc w:val="both"/>
        <w:rPr>
          <w:rFonts w:hint="eastAsia" w:ascii="宋体" w:hAnsi="宋体" w:eastAsia="宋体" w:cs="宋体"/>
          <w:b/>
          <w:bCs/>
          <w:kern w:val="0"/>
          <w:sz w:val="48"/>
          <w:szCs w:val="48"/>
          <w:highlight w:val="none"/>
        </w:rPr>
      </w:pPr>
      <w:r>
        <w:rPr>
          <w:rFonts w:hint="eastAsia" w:ascii="宋体" w:hAnsi="宋体" w:eastAsia="宋体" w:cs="宋体"/>
          <w:b/>
          <w:bCs/>
          <w:kern w:val="0"/>
          <w:sz w:val="48"/>
          <w:szCs w:val="48"/>
          <w:highlight w:val="none"/>
        </w:rPr>
        <w:t>合同格式</w:t>
      </w:r>
    </w:p>
    <w:p w14:paraId="2592811A">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合同编号：</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rPr>
        <w:t xml:space="preserve"> </w:t>
      </w:r>
    </w:p>
    <w:p w14:paraId="3C5EE97A">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签订地点：</w:t>
      </w:r>
      <w:r>
        <w:rPr>
          <w:rFonts w:hint="eastAsia" w:ascii="宋体" w:hAnsi="宋体" w:eastAsia="宋体" w:cs="宋体"/>
          <w:bCs/>
          <w:sz w:val="20"/>
          <w:szCs w:val="20"/>
          <w:highlight w:val="none"/>
          <w:u w:val="single"/>
          <w:lang w:val="en-US" w:eastAsia="zh-CN"/>
        </w:rPr>
        <w:t xml:space="preserve">              </w:t>
      </w:r>
    </w:p>
    <w:p w14:paraId="6361447D">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 xml:space="preserve">签订时间: </w:t>
      </w:r>
      <w:r>
        <w:rPr>
          <w:rFonts w:hint="eastAsia" w:ascii="宋体" w:hAnsi="宋体" w:eastAsia="宋体" w:cs="宋体"/>
          <w:bCs/>
          <w:sz w:val="20"/>
          <w:szCs w:val="20"/>
          <w:highlight w:val="none"/>
          <w:u w:val="single"/>
          <w:lang w:val="en-US" w:eastAsia="zh-CN"/>
        </w:rPr>
        <w:t xml:space="preserve">              </w:t>
      </w:r>
    </w:p>
    <w:p w14:paraId="05190955">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是否为专门面向中小企业的采购项目：</w:t>
      </w:r>
      <w:r>
        <w:rPr>
          <w:rFonts w:hint="eastAsia" w:ascii="宋体" w:hAnsi="宋体" w:eastAsia="宋体" w:cs="宋体"/>
          <w:bCs/>
          <w:sz w:val="20"/>
          <w:szCs w:val="20"/>
          <w:highlight w:val="none"/>
          <w:u w:val="single"/>
        </w:rPr>
        <w:t>是</w:t>
      </w:r>
    </w:p>
    <w:p w14:paraId="49B827D1">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采购人（甲方）：</w:t>
      </w:r>
      <w:r>
        <w:rPr>
          <w:rFonts w:hint="eastAsia" w:ascii="宋体" w:hAnsi="宋体" w:eastAsia="宋体" w:cs="宋体"/>
          <w:bCs/>
          <w:sz w:val="20"/>
          <w:szCs w:val="20"/>
          <w:highlight w:val="none"/>
          <w:u w:val="single"/>
          <w:lang w:val="en-US" w:eastAsia="zh-CN"/>
        </w:rPr>
        <w:t xml:space="preserve"> 西安浐灞国际港管理委员会</w:t>
      </w:r>
    </w:p>
    <w:p w14:paraId="76B93BB8">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rPr>
        <w:t>供应商（乙方）：</w:t>
      </w:r>
      <w:r>
        <w:rPr>
          <w:rFonts w:hint="eastAsia" w:ascii="宋体" w:hAnsi="宋体" w:eastAsia="宋体" w:cs="宋体"/>
          <w:bCs/>
          <w:sz w:val="20"/>
          <w:szCs w:val="20"/>
          <w:highlight w:val="none"/>
          <w:u w:val="single"/>
          <w:lang w:val="en-US" w:eastAsia="zh-CN"/>
        </w:rPr>
        <w:t xml:space="preserve">                         </w:t>
      </w:r>
    </w:p>
    <w:p w14:paraId="4E734584">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根据《中华人民共和国政府采购法》及实施条例、《中华人民共和国民法典》和</w:t>
      </w:r>
      <w:r>
        <w:rPr>
          <w:rFonts w:hint="eastAsia" w:ascii="宋体" w:hAnsi="宋体" w:eastAsia="宋体" w:cs="宋体"/>
          <w:bCs/>
          <w:sz w:val="20"/>
          <w:szCs w:val="20"/>
          <w:highlight w:val="none"/>
          <w:lang w:eastAsia="zh-CN"/>
        </w:rPr>
        <w:t>西安浐灞国际港2026年网络安全防护服务项目</w:t>
      </w:r>
      <w:r>
        <w:rPr>
          <w:rFonts w:hint="eastAsia" w:ascii="宋体" w:hAnsi="宋体" w:eastAsia="宋体" w:cs="宋体"/>
          <w:bCs/>
          <w:sz w:val="20"/>
          <w:szCs w:val="20"/>
          <w:highlight w:val="none"/>
        </w:rPr>
        <w:t>（采购项目编号</w:t>
      </w:r>
      <w:r>
        <w:rPr>
          <w:rFonts w:hint="eastAsia" w:ascii="宋体" w:hAnsi="宋体" w:eastAsia="宋体" w:cs="宋体"/>
          <w:bCs/>
          <w:sz w:val="20"/>
          <w:szCs w:val="20"/>
          <w:highlight w:val="none"/>
          <w:lang w:eastAsia="zh-CN"/>
        </w:rPr>
        <w:t>CGZC-2026-025-SXLX26-02-037Z(F)</w:t>
      </w:r>
      <w:r>
        <w:rPr>
          <w:rFonts w:hint="eastAsia" w:ascii="宋体" w:hAnsi="宋体" w:eastAsia="宋体" w:cs="宋体"/>
          <w:bCs/>
          <w:sz w:val="20"/>
          <w:szCs w:val="20"/>
          <w:highlight w:val="none"/>
        </w:rPr>
        <w:t>）的采购文件、响应文件等有关规定，为确保甲方采购项目的顺利实施，甲、乙双方在平等自愿原则下签订本合同，并共同遵守如下条款，其主要要求如下：</w:t>
      </w:r>
    </w:p>
    <w:p w14:paraId="235151DE">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第一条   项目基本情况</w:t>
      </w:r>
    </w:p>
    <w:p w14:paraId="55D3D9F7">
      <w:pPr>
        <w:spacing w:line="360" w:lineRule="auto"/>
        <w:ind w:firstLine="400" w:firstLineChars="200"/>
        <w:rPr>
          <w:rFonts w:hint="default"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u w:val="single"/>
          <w:lang w:eastAsia="zh-CN"/>
        </w:rPr>
        <w:t>西安浐灞国际港2026年网络安全防护服务项目</w:t>
      </w:r>
      <w:r>
        <w:rPr>
          <w:rFonts w:hint="eastAsia" w:ascii="宋体" w:hAnsi="宋体" w:eastAsia="宋体" w:cs="宋体"/>
          <w:bCs/>
          <w:sz w:val="20"/>
          <w:szCs w:val="20"/>
          <w:highlight w:val="none"/>
          <w:u w:val="single"/>
          <w:lang w:val="en-US" w:eastAsia="zh-CN"/>
        </w:rPr>
        <w:t>。</w:t>
      </w:r>
    </w:p>
    <w:p w14:paraId="7AA737F3">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二</w:t>
      </w:r>
      <w:r>
        <w:rPr>
          <w:rFonts w:hint="eastAsia" w:ascii="宋体" w:hAnsi="宋体" w:eastAsia="宋体" w:cs="宋体"/>
          <w:b/>
          <w:bCs w:val="0"/>
          <w:sz w:val="20"/>
          <w:szCs w:val="20"/>
          <w:highlight w:val="none"/>
        </w:rPr>
        <w:t>条   服务内容与质量标准</w:t>
      </w:r>
    </w:p>
    <w:p w14:paraId="3FDE2BD2">
      <w:pPr>
        <w:pStyle w:val="10"/>
        <w:numPr>
          <w:ilvl w:val="0"/>
          <w:numId w:val="0"/>
        </w:numPr>
        <w:shd w:val="clear" w:color="auto" w:fill="auto"/>
        <w:spacing w:line="360" w:lineRule="auto"/>
        <w:ind w:firstLine="408" w:firstLineChars="200"/>
        <w:jc w:val="left"/>
        <w:rPr>
          <w:rFonts w:hint="eastAsia" w:ascii="宋体" w:hAnsi="宋体" w:cs="宋体"/>
          <w:b w:val="0"/>
          <w:bCs/>
          <w:color w:val="auto"/>
          <w:spacing w:val="2"/>
          <w:highlight w:val="none"/>
          <w:lang w:val="en-US" w:eastAsia="zh-CN"/>
        </w:rPr>
      </w:pPr>
      <w:r>
        <w:rPr>
          <w:rFonts w:hint="eastAsia" w:ascii="宋体" w:hAnsi="宋体" w:cs="宋体"/>
          <w:b w:val="0"/>
          <w:bCs/>
          <w:color w:val="auto"/>
          <w:spacing w:val="2"/>
          <w:highlight w:val="none"/>
          <w:lang w:val="en-US" w:eastAsia="zh-CN"/>
        </w:rPr>
        <w:t>2.1、服务内容：</w:t>
      </w:r>
    </w:p>
    <w:p w14:paraId="287DAD02">
      <w:pPr>
        <w:pStyle w:val="10"/>
        <w:numPr>
          <w:ilvl w:val="0"/>
          <w:numId w:val="0"/>
        </w:numPr>
        <w:shd w:val="clear" w:color="auto" w:fill="auto"/>
        <w:spacing w:line="360" w:lineRule="auto"/>
        <w:ind w:firstLine="408" w:firstLineChars="200"/>
        <w:jc w:val="left"/>
        <w:rPr>
          <w:rFonts w:hint="default" w:ascii="宋体" w:hAnsi="宋体" w:eastAsia="宋体" w:cs="宋体"/>
          <w:b w:val="0"/>
          <w:bCs/>
          <w:color w:val="auto"/>
          <w:spacing w:val="2"/>
          <w:sz w:val="20"/>
          <w:szCs w:val="20"/>
          <w:highlight w:val="none"/>
          <w:u w:val="single"/>
          <w:lang w:val="en-US" w:eastAsia="zh-CN"/>
        </w:rPr>
      </w:pPr>
      <w:r>
        <w:rPr>
          <w:rFonts w:hint="eastAsia" w:ascii="宋体" w:hAnsi="宋体" w:cs="宋体"/>
          <w:b w:val="0"/>
          <w:bCs/>
          <w:color w:val="auto"/>
          <w:spacing w:val="2"/>
          <w:highlight w:val="none"/>
          <w:u w:val="single"/>
          <w:lang w:val="en-US" w:eastAsia="zh-CN"/>
        </w:rPr>
        <w:t>本次服务范围涵盖西安浐灞国际港管理委员会辖区内网络安全相关全流程服务，具体服务内容包括网络安全攻击自动化阻断服务、安全巡查监测服务、网络安全检查监管、网络安全应急演练服务、网络安全培训、定点服务六大类，本次服务的具体内容见附件1。</w:t>
      </w:r>
    </w:p>
    <w:p w14:paraId="7875CBBE">
      <w:pPr>
        <w:pStyle w:val="10"/>
        <w:numPr>
          <w:ilvl w:val="0"/>
          <w:numId w:val="0"/>
        </w:numPr>
        <w:shd w:val="clear" w:color="auto" w:fill="auto"/>
        <w:spacing w:line="360" w:lineRule="auto"/>
        <w:ind w:firstLine="408" w:firstLineChars="200"/>
        <w:jc w:val="left"/>
        <w:rPr>
          <w:rFonts w:hint="eastAsia" w:ascii="宋体" w:hAnsi="宋体" w:cs="宋体"/>
          <w:b w:val="0"/>
          <w:bCs/>
          <w:color w:val="auto"/>
          <w:spacing w:val="2"/>
          <w:sz w:val="20"/>
          <w:szCs w:val="20"/>
          <w:highlight w:val="none"/>
          <w:lang w:val="en-US" w:eastAsia="zh-CN"/>
        </w:rPr>
      </w:pPr>
      <w:r>
        <w:rPr>
          <w:rFonts w:hint="eastAsia" w:ascii="宋体" w:hAnsi="宋体" w:cs="宋体"/>
          <w:b w:val="0"/>
          <w:bCs/>
          <w:color w:val="auto"/>
          <w:spacing w:val="2"/>
          <w:sz w:val="20"/>
          <w:szCs w:val="20"/>
          <w:highlight w:val="none"/>
          <w:lang w:val="en-US" w:eastAsia="zh-CN"/>
        </w:rPr>
        <w:t>2.2、质量标准：</w:t>
      </w:r>
    </w:p>
    <w:p w14:paraId="45E18035">
      <w:pPr>
        <w:pStyle w:val="10"/>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按照磋商文件及</w:t>
      </w:r>
      <w:r>
        <w:rPr>
          <w:rFonts w:hint="eastAsia" w:ascii="宋体" w:hAnsi="宋体" w:cs="宋体"/>
          <w:color w:val="auto"/>
          <w:sz w:val="20"/>
          <w:szCs w:val="18"/>
          <w:highlight w:val="none"/>
          <w:u w:val="single"/>
          <w:lang w:val="en-US" w:eastAsia="zh-CN"/>
        </w:rPr>
        <w:t>甲方</w:t>
      </w:r>
      <w:r>
        <w:rPr>
          <w:rFonts w:hint="eastAsia" w:ascii="宋体" w:hAnsi="宋体" w:cs="宋体"/>
          <w:color w:val="auto"/>
          <w:sz w:val="20"/>
          <w:szCs w:val="18"/>
          <w:highlight w:val="none"/>
          <w:u w:val="single"/>
          <w:lang w:eastAsia="zh-CN"/>
        </w:rPr>
        <w:t>要求执行，根据所服务的内容并按照所对应的法律法规、规范标准、技术规程等实施，在实施过程中，如果国家或有关部门颁布了新的技术标准或规范，则</w:t>
      </w:r>
      <w:r>
        <w:rPr>
          <w:rFonts w:hint="eastAsia" w:ascii="宋体" w:hAnsi="宋体" w:cs="宋体"/>
          <w:color w:val="auto"/>
          <w:sz w:val="20"/>
          <w:szCs w:val="18"/>
          <w:highlight w:val="none"/>
          <w:u w:val="single"/>
          <w:lang w:val="en-US" w:eastAsia="zh-CN"/>
        </w:rPr>
        <w:t>乙方</w:t>
      </w:r>
      <w:r>
        <w:rPr>
          <w:rFonts w:hint="eastAsia" w:ascii="宋体" w:hAnsi="宋体" w:cs="宋体"/>
          <w:color w:val="auto"/>
          <w:sz w:val="20"/>
          <w:szCs w:val="18"/>
          <w:highlight w:val="none"/>
          <w:u w:val="single"/>
          <w:lang w:eastAsia="zh-CN"/>
        </w:rPr>
        <w:t>应采用新的标准或规范进行实施。</w:t>
      </w:r>
    </w:p>
    <w:p w14:paraId="3F054F1A">
      <w:pPr>
        <w:pStyle w:val="10"/>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执行标准根据（包括但不限于）以下质量标准进行：</w:t>
      </w:r>
    </w:p>
    <w:p w14:paraId="4A86BD6D">
      <w:pPr>
        <w:pStyle w:val="10"/>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1.《中华人民共和国网络安全法》；</w:t>
      </w:r>
    </w:p>
    <w:p w14:paraId="302D7BE8">
      <w:pPr>
        <w:pStyle w:val="10"/>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2.《网络安全等级保护基本要求》（GB/T 22239-2019）；</w:t>
      </w:r>
    </w:p>
    <w:p w14:paraId="440E127C">
      <w:pPr>
        <w:pStyle w:val="10"/>
        <w:numPr>
          <w:ilvl w:val="0"/>
          <w:numId w:val="0"/>
        </w:numPr>
        <w:shd w:val="clear" w:color="auto" w:fill="auto"/>
        <w:spacing w:line="360" w:lineRule="auto"/>
        <w:ind w:firstLine="400" w:firstLineChars="200"/>
        <w:jc w:val="left"/>
        <w:rPr>
          <w:rFonts w:hint="eastAsia" w:ascii="宋体" w:hAnsi="宋体" w:cs="宋体"/>
          <w:color w:val="auto"/>
          <w:sz w:val="20"/>
          <w:szCs w:val="18"/>
          <w:highlight w:val="none"/>
          <w:u w:val="single"/>
          <w:lang w:eastAsia="zh-CN"/>
        </w:rPr>
      </w:pPr>
      <w:r>
        <w:rPr>
          <w:rFonts w:hint="eastAsia" w:ascii="宋体" w:hAnsi="宋体" w:cs="宋体"/>
          <w:color w:val="auto"/>
          <w:sz w:val="20"/>
          <w:szCs w:val="18"/>
          <w:highlight w:val="none"/>
          <w:u w:val="single"/>
          <w:lang w:eastAsia="zh-CN"/>
        </w:rPr>
        <w:t>3.《信息安全技术网络安全应急响应指南》（GB/T 29639-2020）；</w:t>
      </w:r>
    </w:p>
    <w:p w14:paraId="14005590">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三</w:t>
      </w:r>
      <w:r>
        <w:rPr>
          <w:rFonts w:hint="eastAsia" w:ascii="宋体" w:hAnsi="宋体" w:eastAsia="宋体" w:cs="宋体"/>
          <w:b/>
          <w:bCs w:val="0"/>
          <w:sz w:val="20"/>
          <w:szCs w:val="20"/>
          <w:highlight w:val="none"/>
        </w:rPr>
        <w:t>条   服务期限</w:t>
      </w:r>
    </w:p>
    <w:p w14:paraId="0E7BB033">
      <w:pPr>
        <w:spacing w:line="360" w:lineRule="auto"/>
        <w:ind w:firstLine="400" w:firstLineChars="200"/>
        <w:rPr>
          <w:rFonts w:hint="eastAsia" w:ascii="宋体" w:hAnsi="宋体" w:eastAsia="宋体" w:cs="宋体"/>
          <w:bCs/>
          <w:sz w:val="20"/>
          <w:szCs w:val="20"/>
          <w:highlight w:val="none"/>
          <w:u w:val="single"/>
          <w:lang w:eastAsia="zh-CN"/>
        </w:rPr>
      </w:pPr>
      <w:r>
        <w:rPr>
          <w:rFonts w:hint="eastAsia" w:ascii="宋体" w:hAnsi="宋体" w:eastAsia="宋体" w:cs="宋体"/>
          <w:bCs/>
          <w:sz w:val="20"/>
          <w:szCs w:val="20"/>
          <w:highlight w:val="none"/>
          <w:u w:val="none"/>
          <w:lang w:val="en-US" w:eastAsia="zh-CN"/>
        </w:rPr>
        <w:t>3</w:t>
      </w:r>
      <w:r>
        <w:rPr>
          <w:rFonts w:hint="eastAsia" w:ascii="宋体" w:hAnsi="宋体" w:eastAsia="宋体" w:cs="宋体"/>
          <w:bCs/>
          <w:sz w:val="20"/>
          <w:szCs w:val="20"/>
          <w:highlight w:val="none"/>
          <w:u w:val="none"/>
        </w:rPr>
        <w:t>.1 项目名称：</w:t>
      </w:r>
      <w:r>
        <w:rPr>
          <w:rFonts w:hint="eastAsia" w:ascii="宋体" w:hAnsi="宋体" w:eastAsia="宋体" w:cs="宋体"/>
          <w:bCs/>
          <w:i w:val="0"/>
          <w:iCs w:val="0"/>
          <w:sz w:val="20"/>
          <w:szCs w:val="20"/>
          <w:highlight w:val="none"/>
          <w:u w:val="single"/>
          <w:lang w:eastAsia="zh-CN"/>
        </w:rPr>
        <w:t>西安浐灞国际港2026年网络安全防护服务项目。</w:t>
      </w:r>
    </w:p>
    <w:p w14:paraId="7A50727E">
      <w:pPr>
        <w:spacing w:line="360" w:lineRule="auto"/>
        <w:ind w:firstLine="400" w:firstLineChars="200"/>
        <w:rPr>
          <w:rFonts w:hint="eastAsia" w:ascii="宋体" w:hAnsi="宋体"/>
          <w:color w:val="000000"/>
          <w:sz w:val="20"/>
          <w:szCs w:val="20"/>
          <w:highlight w:val="none"/>
          <w:lang w:eastAsia="zh-CN"/>
        </w:rPr>
      </w:pPr>
      <w:r>
        <w:rPr>
          <w:rFonts w:hint="eastAsia" w:ascii="宋体" w:hAnsi="宋体" w:eastAsia="宋体" w:cs="宋体"/>
          <w:bCs/>
          <w:sz w:val="20"/>
          <w:szCs w:val="20"/>
          <w:highlight w:val="none"/>
          <w:u w:val="none"/>
          <w:lang w:val="en-US" w:eastAsia="zh-CN"/>
        </w:rPr>
        <w:t>4</w:t>
      </w:r>
      <w:r>
        <w:rPr>
          <w:rFonts w:hint="eastAsia" w:ascii="宋体" w:hAnsi="宋体" w:eastAsia="宋体" w:cs="宋体"/>
          <w:bCs/>
          <w:sz w:val="20"/>
          <w:szCs w:val="20"/>
          <w:highlight w:val="none"/>
          <w:u w:val="none"/>
        </w:rPr>
        <w:t>.2 服务周期：</w:t>
      </w:r>
      <w:r>
        <w:rPr>
          <w:rFonts w:hint="eastAsia" w:ascii="宋体" w:hAnsi="宋体" w:eastAsia="宋体" w:cs="宋体"/>
          <w:bCs/>
          <w:sz w:val="20"/>
          <w:szCs w:val="20"/>
          <w:highlight w:val="none"/>
          <w:u w:val="single"/>
        </w:rPr>
        <w:t>自合同签订之日起</w:t>
      </w:r>
      <w:r>
        <w:rPr>
          <w:rFonts w:hint="eastAsia" w:ascii="宋体" w:hAnsi="宋体" w:eastAsia="宋体" w:cs="宋体"/>
          <w:bCs/>
          <w:sz w:val="20"/>
          <w:szCs w:val="20"/>
          <w:highlight w:val="none"/>
          <w:u w:val="single"/>
          <w:lang w:val="en-US" w:eastAsia="zh-CN"/>
        </w:rPr>
        <w:t>1</w:t>
      </w:r>
      <w:r>
        <w:rPr>
          <w:rFonts w:hint="eastAsia" w:ascii="宋体" w:hAnsi="宋体" w:eastAsia="宋体" w:cs="宋体"/>
          <w:bCs/>
          <w:sz w:val="20"/>
          <w:szCs w:val="20"/>
          <w:highlight w:val="none"/>
          <w:u w:val="single"/>
        </w:rPr>
        <w:t>年</w:t>
      </w:r>
      <w:r>
        <w:rPr>
          <w:rFonts w:hint="eastAsia" w:ascii="宋体" w:hAnsi="宋体"/>
          <w:color w:val="000000"/>
          <w:sz w:val="20"/>
          <w:szCs w:val="20"/>
          <w:highlight w:val="none"/>
          <w:lang w:eastAsia="zh-CN"/>
        </w:rPr>
        <w:t>。</w:t>
      </w:r>
    </w:p>
    <w:p w14:paraId="01CDEBFB">
      <w:pPr>
        <w:numPr>
          <w:ilvl w:val="0"/>
          <w:numId w:val="1"/>
        </w:num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 xml:space="preserve">  服务费用及支付方式</w:t>
      </w:r>
    </w:p>
    <w:p w14:paraId="68E34331">
      <w:pPr>
        <w:spacing w:line="360" w:lineRule="auto"/>
        <w:ind w:firstLine="400" w:firstLineChars="200"/>
        <w:rPr>
          <w:rFonts w:hint="eastAsia" w:ascii="宋体" w:hAnsi="宋体"/>
          <w:color w:val="000000"/>
          <w:sz w:val="20"/>
          <w:szCs w:val="20"/>
          <w:highlight w:val="none"/>
        </w:rPr>
      </w:pPr>
      <w:r>
        <w:rPr>
          <w:rFonts w:hint="eastAsia" w:ascii="宋体" w:hAnsi="宋体"/>
          <w:color w:val="000000"/>
          <w:sz w:val="20"/>
          <w:szCs w:val="20"/>
          <w:highlight w:val="none"/>
        </w:rPr>
        <w:t>1、服务费按下列比例支付价款：</w:t>
      </w:r>
    </w:p>
    <w:p w14:paraId="3BCF0A9D">
      <w:pPr>
        <w:spacing w:line="360" w:lineRule="auto"/>
        <w:ind w:firstLine="400" w:firstLineChars="200"/>
        <w:rPr>
          <w:rFonts w:hint="eastAsia" w:ascii="宋体" w:hAnsi="宋体" w:eastAsia="宋体" w:cs="Times New Roman"/>
          <w:color w:val="000000"/>
          <w:sz w:val="20"/>
          <w:szCs w:val="20"/>
          <w:highlight w:val="none"/>
        </w:rPr>
      </w:pPr>
      <w:r>
        <w:rPr>
          <w:rFonts w:hint="eastAsia" w:ascii="宋体" w:hAnsi="宋体" w:eastAsia="宋体" w:cs="Times New Roman"/>
          <w:color w:val="000000"/>
          <w:sz w:val="20"/>
          <w:szCs w:val="20"/>
          <w:highlight w:val="none"/>
          <w:lang w:val="en-US" w:eastAsia="zh-CN"/>
        </w:rPr>
        <w:t>1.1</w:t>
      </w:r>
      <w:r>
        <w:rPr>
          <w:rFonts w:hint="eastAsia" w:ascii="宋体" w:hAnsi="宋体" w:eastAsia="宋体" w:cs="宋体"/>
          <w:bCs/>
          <w:sz w:val="20"/>
          <w:szCs w:val="20"/>
          <w:highlight w:val="none"/>
          <w:lang w:val="en-US" w:eastAsia="zh-CN"/>
        </w:rPr>
        <w:t>、</w:t>
      </w:r>
      <w:r>
        <w:rPr>
          <w:rFonts w:hint="eastAsia" w:ascii="宋体" w:hAnsi="宋体" w:eastAsia="宋体" w:cs="宋体"/>
          <w:color w:val="000000"/>
          <w:sz w:val="21"/>
          <w:szCs w:val="21"/>
          <w:highlight w:val="none"/>
        </w:rPr>
        <w:t>本合同为</w:t>
      </w:r>
      <w:r>
        <w:rPr>
          <w:rFonts w:hint="eastAsia" w:ascii="宋体" w:hAnsi="宋体" w:eastAsia="宋体" w:cs="宋体"/>
          <w:color w:val="000000"/>
          <w:sz w:val="21"/>
          <w:szCs w:val="21"/>
          <w:highlight w:val="none"/>
          <w:lang w:val="en-US" w:eastAsia="zh-CN"/>
        </w:rPr>
        <w:t>总价</w:t>
      </w:r>
      <w:r>
        <w:rPr>
          <w:rFonts w:hint="eastAsia" w:ascii="宋体" w:hAnsi="宋体" w:eastAsia="宋体" w:cs="宋体"/>
          <w:color w:val="000000"/>
          <w:sz w:val="21"/>
          <w:szCs w:val="21"/>
          <w:highlight w:val="none"/>
        </w:rPr>
        <w:t>合同，</w:t>
      </w:r>
      <w:r>
        <w:rPr>
          <w:rFonts w:hint="eastAsia" w:ascii="宋体" w:hAnsi="宋体" w:eastAsia="宋体" w:cs="宋体"/>
          <w:color w:val="000000"/>
          <w:sz w:val="21"/>
          <w:szCs w:val="21"/>
          <w:highlight w:val="none"/>
          <w:lang w:val="en-US" w:eastAsia="zh-CN"/>
        </w:rPr>
        <w:t>合同总价为乙方完成本项目全部工作内容，责任、义务和风险的总价款，除合同另有约定外，合同总价不作调整。</w:t>
      </w:r>
    </w:p>
    <w:p w14:paraId="09873EA0">
      <w:pPr>
        <w:spacing w:line="360" w:lineRule="auto"/>
        <w:ind w:firstLine="402" w:firstLineChars="200"/>
        <w:rPr>
          <w:rFonts w:hint="eastAsia" w:ascii="宋体" w:hAnsi="宋体" w:eastAsia="宋体" w:cs="Times New Roman"/>
          <w:b/>
          <w:bCs w:val="0"/>
          <w:color w:val="000000"/>
          <w:sz w:val="20"/>
          <w:szCs w:val="20"/>
          <w:highlight w:val="none"/>
        </w:rPr>
      </w:pPr>
      <w:r>
        <w:rPr>
          <w:rFonts w:hint="eastAsia" w:ascii="宋体" w:hAnsi="宋体" w:eastAsia="宋体" w:cs="宋体"/>
          <w:b/>
          <w:bCs w:val="0"/>
          <w:sz w:val="20"/>
          <w:szCs w:val="20"/>
          <w:highlight w:val="none"/>
          <w:lang w:val="en-US" w:eastAsia="zh-CN"/>
        </w:rPr>
        <w:t>本合同含税总价为人民币</w:t>
      </w:r>
      <w:r>
        <w:rPr>
          <w:rFonts w:hint="eastAsia" w:ascii="宋体" w:hAnsi="宋体" w:eastAsia="宋体" w:cs="Times New Roman"/>
          <w:b/>
          <w:bCs w:val="0"/>
          <w:color w:val="000000"/>
          <w:sz w:val="20"/>
          <w:szCs w:val="20"/>
          <w:highlight w:val="none"/>
        </w:rPr>
        <w:t>（大写）</w:t>
      </w:r>
      <w:r>
        <w:rPr>
          <w:rFonts w:hint="eastAsia" w:ascii="宋体" w:hAnsi="宋体" w:eastAsia="宋体" w:cs="Times New Roman"/>
          <w:b/>
          <w:bCs w:val="0"/>
          <w:color w:val="000000"/>
          <w:sz w:val="20"/>
          <w:szCs w:val="20"/>
          <w:highlight w:val="none"/>
          <w:u w:val="single"/>
        </w:rPr>
        <w:t xml:space="preserve">：                 </w:t>
      </w:r>
      <w:r>
        <w:rPr>
          <w:rFonts w:hint="eastAsia" w:ascii="宋体" w:hAnsi="宋体" w:eastAsia="宋体" w:cs="Times New Roman"/>
          <w:b/>
          <w:bCs w:val="0"/>
          <w:color w:val="000000"/>
          <w:sz w:val="20"/>
          <w:szCs w:val="20"/>
          <w:highlight w:val="none"/>
        </w:rPr>
        <w:t>(</w:t>
      </w:r>
      <w:r>
        <w:rPr>
          <w:rFonts w:hint="eastAsia" w:ascii="宋体" w:hAnsi="宋体" w:eastAsia="宋体" w:cs="Times New Roman"/>
          <w:b/>
          <w:bCs w:val="0"/>
          <w:color w:val="000000"/>
          <w:sz w:val="20"/>
          <w:szCs w:val="20"/>
          <w:highlight w:val="none"/>
          <w:lang w:val="en-US" w:eastAsia="zh-CN"/>
        </w:rPr>
        <w:t>小写</w:t>
      </w:r>
      <w:r>
        <w:rPr>
          <w:rFonts w:hint="eastAsia" w:ascii="宋体" w:hAnsi="宋体" w:eastAsia="宋体" w:cs="Times New Roman"/>
          <w:b/>
          <w:bCs w:val="0"/>
          <w:color w:val="000000"/>
          <w:sz w:val="20"/>
          <w:szCs w:val="20"/>
          <w:highlight w:val="none"/>
        </w:rPr>
        <w:t>¥</w:t>
      </w:r>
      <w:r>
        <w:rPr>
          <w:rFonts w:hint="eastAsia" w:ascii="宋体" w:hAnsi="宋体" w:eastAsia="宋体" w:cs="Times New Roman"/>
          <w:b/>
          <w:bCs w:val="0"/>
          <w:color w:val="000000"/>
          <w:sz w:val="20"/>
          <w:szCs w:val="20"/>
          <w:highlight w:val="none"/>
          <w:u w:val="single"/>
        </w:rPr>
        <w:t xml:space="preserve">         </w:t>
      </w:r>
      <w:r>
        <w:rPr>
          <w:rFonts w:hint="eastAsia" w:ascii="宋体" w:hAnsi="宋体" w:eastAsia="宋体" w:cs="Times New Roman"/>
          <w:b/>
          <w:bCs w:val="0"/>
          <w:color w:val="000000"/>
          <w:sz w:val="20"/>
          <w:szCs w:val="20"/>
          <w:highlight w:val="none"/>
        </w:rPr>
        <w:t xml:space="preserve">) </w:t>
      </w:r>
    </w:p>
    <w:p w14:paraId="0B9B21E0">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lang w:val="en-US" w:eastAsia="zh-CN"/>
        </w:rPr>
        <w:t>1.3、</w:t>
      </w:r>
      <w:r>
        <w:rPr>
          <w:rFonts w:hint="eastAsia" w:ascii="宋体" w:hAnsi="宋体" w:eastAsia="宋体" w:cs="宋体"/>
          <w:bCs/>
          <w:sz w:val="20"/>
          <w:szCs w:val="20"/>
          <w:highlight w:val="none"/>
        </w:rPr>
        <w:t>结算方式：</w:t>
      </w:r>
      <w:r>
        <w:rPr>
          <w:rFonts w:hint="eastAsia" w:ascii="宋体" w:hAnsi="宋体" w:eastAsia="宋体" w:cs="宋体"/>
          <w:bCs/>
          <w:sz w:val="20"/>
          <w:szCs w:val="20"/>
          <w:highlight w:val="none"/>
          <w:u w:val="single"/>
        </w:rPr>
        <w:t>银行转账。</w:t>
      </w:r>
    </w:p>
    <w:p w14:paraId="612F4FFC">
      <w:pPr>
        <w:spacing w:line="360" w:lineRule="auto"/>
        <w:ind w:firstLine="400" w:firstLineChars="200"/>
        <w:rPr>
          <w:rFonts w:hint="eastAsia" w:ascii="宋体" w:hAnsi="宋体" w:eastAsia="宋体" w:cs="宋体"/>
          <w:bCs/>
          <w:sz w:val="20"/>
          <w:szCs w:val="20"/>
          <w:highlight w:val="none"/>
          <w:u w:val="single"/>
          <w:lang w:eastAsia="zh-CN"/>
        </w:rPr>
      </w:pPr>
      <w:r>
        <w:rPr>
          <w:rFonts w:hint="eastAsia" w:ascii="宋体" w:hAnsi="宋体" w:eastAsia="宋体" w:cs="宋体"/>
          <w:bCs/>
          <w:sz w:val="20"/>
          <w:szCs w:val="20"/>
          <w:highlight w:val="none"/>
          <w:lang w:val="en-US" w:eastAsia="zh-CN"/>
        </w:rPr>
        <w:t>1.4、</w:t>
      </w:r>
      <w:r>
        <w:rPr>
          <w:rFonts w:hint="eastAsia" w:ascii="宋体" w:hAnsi="宋体" w:eastAsia="宋体" w:cs="宋体"/>
          <w:bCs/>
          <w:sz w:val="20"/>
          <w:szCs w:val="20"/>
          <w:highlight w:val="none"/>
        </w:rPr>
        <w:t>支付方式：</w:t>
      </w:r>
      <w:r>
        <w:rPr>
          <w:rFonts w:hint="eastAsia" w:ascii="宋体" w:hAnsi="宋体" w:eastAsia="宋体" w:cs="宋体"/>
          <w:bCs/>
          <w:sz w:val="20"/>
          <w:szCs w:val="20"/>
          <w:highlight w:val="none"/>
          <w:u w:val="single"/>
          <w:lang w:val="en-US" w:eastAsia="zh-CN"/>
        </w:rPr>
        <w:t>一次性</w:t>
      </w:r>
      <w:r>
        <w:rPr>
          <w:rFonts w:hint="eastAsia" w:ascii="宋体" w:hAnsi="宋体" w:eastAsia="宋体" w:cs="宋体"/>
          <w:bCs/>
          <w:sz w:val="20"/>
          <w:szCs w:val="20"/>
          <w:highlight w:val="none"/>
          <w:u w:val="single"/>
        </w:rPr>
        <w:t>支付</w:t>
      </w:r>
      <w:r>
        <w:rPr>
          <w:rFonts w:hint="eastAsia" w:ascii="宋体" w:hAnsi="宋体" w:eastAsia="宋体" w:cs="宋体"/>
          <w:bCs/>
          <w:sz w:val="20"/>
          <w:szCs w:val="20"/>
          <w:highlight w:val="none"/>
          <w:u w:val="single"/>
          <w:lang w:eastAsia="zh-CN"/>
        </w:rPr>
        <w:t>。</w:t>
      </w:r>
    </w:p>
    <w:p w14:paraId="49A7C547">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1.5、付款条件说明：</w:t>
      </w:r>
      <w:r>
        <w:rPr>
          <w:rFonts w:hint="eastAsia" w:ascii="宋体" w:hAnsi="宋体" w:eastAsia="宋体" w:cs="宋体"/>
          <w:bCs/>
          <w:sz w:val="20"/>
          <w:szCs w:val="20"/>
          <w:highlight w:val="none"/>
          <w:u w:val="single"/>
          <w:lang w:val="en-US" w:eastAsia="zh-CN"/>
        </w:rPr>
        <w:t>本项目不设置预付款；</w:t>
      </w:r>
    </w:p>
    <w:p w14:paraId="2E305E54">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 xml:space="preserve">1.6、预付款金额：/ </w:t>
      </w:r>
    </w:p>
    <w:p w14:paraId="4EDA28C8">
      <w:pPr>
        <w:pStyle w:val="10"/>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1.7、支付条款：</w:t>
      </w:r>
    </w:p>
    <w:p w14:paraId="0933821E">
      <w:pPr>
        <w:spacing w:line="360" w:lineRule="auto"/>
        <w:ind w:firstLine="400" w:firstLineChars="200"/>
        <w:rPr>
          <w:rFonts w:hint="eastAsia" w:ascii="宋体" w:hAnsi="宋体" w:eastAsia="宋体" w:cs="宋体"/>
          <w:bCs/>
          <w:sz w:val="20"/>
          <w:szCs w:val="20"/>
          <w:highlight w:val="none"/>
          <w:u w:val="single"/>
          <w:lang w:val="en-US" w:eastAsia="zh-CN"/>
        </w:rPr>
      </w:pPr>
      <w:r>
        <w:rPr>
          <w:rFonts w:hint="eastAsia" w:ascii="宋体" w:hAnsi="宋体" w:eastAsia="宋体" w:cs="宋体"/>
          <w:bCs/>
          <w:sz w:val="20"/>
          <w:szCs w:val="20"/>
          <w:highlight w:val="none"/>
          <w:lang w:val="en-US" w:eastAsia="zh-CN"/>
        </w:rPr>
        <w:t>付款条件说明：</w:t>
      </w:r>
      <w:r>
        <w:rPr>
          <w:rFonts w:hint="eastAsia" w:ascii="宋体" w:hAnsi="宋体" w:eastAsia="宋体" w:cs="宋体"/>
          <w:bCs/>
          <w:sz w:val="20"/>
          <w:szCs w:val="20"/>
          <w:highlight w:val="none"/>
          <w:u w:val="single"/>
          <w:lang w:val="en-US" w:eastAsia="zh-CN"/>
        </w:rPr>
        <w:t>乙方完成所有项目内容，提交调查分析报告，并经甲方验收合格后，付至合同总金额100%，达到付款条件起30日内，支付合同总金额的100%。</w:t>
      </w:r>
    </w:p>
    <w:p w14:paraId="67D9EF2A">
      <w:pPr>
        <w:spacing w:line="360" w:lineRule="auto"/>
        <w:ind w:firstLine="400" w:firstLineChars="200"/>
        <w:rPr>
          <w:rFonts w:hint="default"/>
          <w:highlight w:val="none"/>
          <w:lang w:val="en-US" w:eastAsia="zh-CN"/>
        </w:rPr>
      </w:pPr>
      <w:r>
        <w:rPr>
          <w:rFonts w:hint="eastAsia" w:ascii="宋体" w:hAnsi="宋体" w:eastAsia="宋体" w:cs="宋体"/>
          <w:bCs/>
          <w:sz w:val="20"/>
          <w:szCs w:val="20"/>
          <w:highlight w:val="none"/>
          <w:u w:val="single"/>
          <w:lang w:val="en-US" w:eastAsia="zh-CN"/>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合同总金额已包括甲方就乙方履行本合同所应支付的全部报酬、所需全部费用及税费</w:t>
      </w:r>
      <w:r>
        <w:rPr>
          <w:rFonts w:hint="eastAsia" w:ascii="宋体" w:hAnsi="宋体" w:eastAsia="宋体" w:cs="宋体"/>
          <w:bCs/>
          <w:sz w:val="20"/>
          <w:szCs w:val="20"/>
          <w:highlight w:val="none"/>
          <w:lang w:val="en-US" w:eastAsia="zh-CN"/>
        </w:rPr>
        <w:t>。</w:t>
      </w:r>
    </w:p>
    <w:p w14:paraId="5561FA2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2.结算方式：银行转账。</w:t>
      </w:r>
    </w:p>
    <w:p w14:paraId="5919FEF3">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3.乙方收款账户</w:t>
      </w:r>
    </w:p>
    <w:p w14:paraId="7D398623">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账户名称：</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391FB37D">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开户银行：</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6B3AC0B7">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银行账号：</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 xml:space="preserve">     </w:t>
      </w:r>
    </w:p>
    <w:p w14:paraId="1F8F9E9D">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第五条  甲方的权利和义务</w:t>
      </w:r>
    </w:p>
    <w:p w14:paraId="0EBCC08F">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专利申请权：因履行本合同所产生的技术成果（或：乙方利用甲方提供的经费、技术资料和工作条件完成的新的技术成果）归甲方所有；技术成果的专利归甲方所有。在合同履行期间，乙方有对技术成果的使用权；</w:t>
      </w:r>
    </w:p>
    <w:p w14:paraId="26EDB38C">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2、技术秘密的使用权、转让权：技术秘密的使用权、转让权归甲方所有；</w:t>
      </w:r>
    </w:p>
    <w:p w14:paraId="25FE1637">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3、提供本项目相关的基础资料、属地网站清单、网络相关基础信息及现有安全设施清单</w:t>
      </w:r>
      <w:r>
        <w:rPr>
          <w:rFonts w:hint="eastAsia" w:ascii="宋体" w:hAnsi="宋体" w:eastAsia="宋体" w:cs="宋体"/>
          <w:bCs/>
          <w:sz w:val="20"/>
          <w:szCs w:val="20"/>
          <w:highlight w:val="none"/>
          <w:lang w:eastAsia="zh-CN"/>
        </w:rPr>
        <w:t>；</w:t>
      </w:r>
    </w:p>
    <w:p w14:paraId="1BACE778">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4、协调相关部门保障乙方开展服务的权限等必要支持</w:t>
      </w:r>
      <w:r>
        <w:rPr>
          <w:rFonts w:hint="eastAsia" w:ascii="宋体" w:hAnsi="宋体" w:eastAsia="宋体" w:cs="宋体"/>
          <w:bCs/>
          <w:sz w:val="20"/>
          <w:szCs w:val="20"/>
          <w:highlight w:val="none"/>
          <w:lang w:eastAsia="zh-CN"/>
        </w:rPr>
        <w:t>；</w:t>
      </w:r>
    </w:p>
    <w:p w14:paraId="02654B56">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5、甲方有权对乙方提供的服务进行全程监督，包括但不限于服务进度、服务质量、响应效率、技术服务档案提交等方面，并根据双方约定的服务指标和标准进行定期评估，确保乙方提供的服务达到合同约定的要求</w:t>
      </w:r>
      <w:r>
        <w:rPr>
          <w:rFonts w:hint="eastAsia" w:ascii="宋体" w:hAnsi="宋体" w:eastAsia="宋体" w:cs="宋体"/>
          <w:bCs/>
          <w:sz w:val="20"/>
          <w:szCs w:val="20"/>
          <w:highlight w:val="none"/>
          <w:lang w:eastAsia="zh-CN"/>
        </w:rPr>
        <w:t>；</w:t>
      </w:r>
    </w:p>
    <w:p w14:paraId="66F378B0">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6、若乙方在服务过程中存在违反合同条款、服务质量不达标、未按时交付技术服务档案或应急响应不及时等违约行为，甲方有权依据合同条款追究乙方的违约责任，并要求乙方采取补救措施或进行赔偿</w:t>
      </w:r>
      <w:r>
        <w:rPr>
          <w:rFonts w:hint="eastAsia" w:ascii="宋体" w:hAnsi="宋体" w:eastAsia="宋体" w:cs="宋体"/>
          <w:bCs/>
          <w:sz w:val="20"/>
          <w:szCs w:val="20"/>
          <w:highlight w:val="none"/>
          <w:lang w:eastAsia="zh-CN"/>
        </w:rPr>
        <w:t>；</w:t>
      </w:r>
    </w:p>
    <w:p w14:paraId="34ABF99A">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7、甲方需明确对相关服务的具体需求，并向乙方提供必要的信息和资料，以便乙方更好地理解和满足甲方的需求</w:t>
      </w:r>
      <w:r>
        <w:rPr>
          <w:rFonts w:hint="eastAsia" w:ascii="宋体" w:hAnsi="宋体" w:eastAsia="宋体" w:cs="宋体"/>
          <w:bCs/>
          <w:sz w:val="20"/>
          <w:szCs w:val="20"/>
          <w:highlight w:val="none"/>
          <w:lang w:eastAsia="zh-CN"/>
        </w:rPr>
        <w:t>；</w:t>
      </w:r>
    </w:p>
    <w:p w14:paraId="6B8B1500">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8、</w:t>
      </w:r>
      <w:r>
        <w:rPr>
          <w:rFonts w:hint="eastAsia" w:ascii="宋体" w:hAnsi="宋体" w:eastAsia="宋体" w:cs="宋体"/>
          <w:bCs/>
          <w:sz w:val="20"/>
          <w:szCs w:val="20"/>
          <w:highlight w:val="none"/>
        </w:rPr>
        <w:t>甲方应按照合同约定的时间和方式，及时、足额地向乙方支付服务费用，确保乙方能够顺利开展工作并持续提供服务</w:t>
      </w:r>
      <w:r>
        <w:rPr>
          <w:rFonts w:hint="eastAsia" w:ascii="宋体" w:hAnsi="宋体" w:eastAsia="宋体" w:cs="宋体"/>
          <w:bCs/>
          <w:sz w:val="20"/>
          <w:szCs w:val="20"/>
          <w:highlight w:val="none"/>
          <w:lang w:eastAsia="zh-CN"/>
        </w:rPr>
        <w:t>；</w:t>
      </w:r>
    </w:p>
    <w:p w14:paraId="11D39AA7">
      <w:pPr>
        <w:spacing w:line="360" w:lineRule="auto"/>
        <w:ind w:firstLine="400" w:firstLineChars="200"/>
        <w:rPr>
          <w:rFonts w:hint="eastAsia" w:ascii="仿宋_GB2312" w:hAnsi="仿宋_GB2312" w:eastAsia="宋体" w:cs="仿宋_GB2312"/>
          <w:b w:val="0"/>
          <w:bCs/>
          <w:sz w:val="28"/>
          <w:szCs w:val="28"/>
          <w:highlight w:val="none"/>
          <w:lang w:eastAsia="zh-CN"/>
        </w:rPr>
      </w:pPr>
      <w:r>
        <w:rPr>
          <w:rFonts w:hint="eastAsia" w:ascii="宋体" w:hAnsi="宋体" w:eastAsia="宋体" w:cs="宋体"/>
          <w:bCs/>
          <w:sz w:val="20"/>
          <w:szCs w:val="20"/>
          <w:highlight w:val="none"/>
          <w:lang w:val="en-US" w:eastAsia="zh-CN"/>
        </w:rPr>
        <w:t>9、</w:t>
      </w:r>
      <w:r>
        <w:rPr>
          <w:rFonts w:hint="eastAsia" w:ascii="宋体" w:hAnsi="宋体" w:eastAsia="宋体" w:cs="宋体"/>
          <w:bCs/>
          <w:sz w:val="20"/>
          <w:szCs w:val="20"/>
          <w:highlight w:val="none"/>
        </w:rPr>
        <w:t>在服务过程中，甲方应积极配合乙方的工作，提供必要的协助和支持，以确保服务顺利进行</w:t>
      </w:r>
      <w:r>
        <w:rPr>
          <w:rFonts w:hint="eastAsia" w:ascii="宋体" w:hAnsi="宋体" w:eastAsia="宋体" w:cs="宋体"/>
          <w:bCs/>
          <w:sz w:val="20"/>
          <w:szCs w:val="20"/>
          <w:highlight w:val="none"/>
          <w:lang w:eastAsia="zh-CN"/>
        </w:rPr>
        <w:t>；</w:t>
      </w:r>
    </w:p>
    <w:p w14:paraId="0AA90928">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10</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根据本合同规定，按时向乙方支付应付服务费用</w:t>
      </w:r>
      <w:r>
        <w:rPr>
          <w:rFonts w:hint="eastAsia" w:ascii="宋体" w:hAnsi="宋体" w:eastAsia="宋体" w:cs="宋体"/>
          <w:bCs/>
          <w:sz w:val="20"/>
          <w:szCs w:val="20"/>
          <w:highlight w:val="none"/>
          <w:lang w:eastAsia="zh-CN"/>
        </w:rPr>
        <w:t>；</w:t>
      </w:r>
    </w:p>
    <w:p w14:paraId="6EF05DBB">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11</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国家法律、法规所规定由甲方承担的其它责任</w:t>
      </w:r>
      <w:r>
        <w:rPr>
          <w:rFonts w:hint="eastAsia" w:ascii="宋体" w:hAnsi="宋体" w:eastAsia="宋体" w:cs="宋体"/>
          <w:bCs/>
          <w:sz w:val="20"/>
          <w:szCs w:val="20"/>
          <w:highlight w:val="none"/>
          <w:lang w:eastAsia="zh-CN"/>
        </w:rPr>
        <w:t>。</w:t>
      </w:r>
    </w:p>
    <w:p w14:paraId="203FDCC4">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第六条  乙方的权利和义务</w:t>
      </w:r>
    </w:p>
    <w:p w14:paraId="1B0E67CF">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1、乙方设置1名项目经理：具备丰富的经验，良好的沟通协调能力和团队合作精神，能够高效协同工作，确保项目有序运行；</w:t>
      </w:r>
    </w:p>
    <w:p w14:paraId="12C086DD">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2、项目团队建立完善：乙方应为本项目配备具备网络安全服务能力的技术人员，服务期内更换服务人员必须征得甲方同意，用于本项目的服务人员（含项目经理）不得少于7人；</w:t>
      </w:r>
    </w:p>
    <w:p w14:paraId="43D2038A">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3、另需2名安全技术人员在根据甲方要求定点服务；</w:t>
      </w:r>
    </w:p>
    <w:p w14:paraId="2E1949A7">
      <w:pPr>
        <w:spacing w:line="360" w:lineRule="auto"/>
        <w:ind w:firstLine="400" w:firstLineChars="200"/>
        <w:rPr>
          <w:rFonts w:hint="eastAsia"/>
          <w:highlight w:val="none"/>
        </w:rPr>
      </w:pPr>
      <w:r>
        <w:rPr>
          <w:rFonts w:hint="eastAsia" w:ascii="宋体" w:hAnsi="宋体" w:eastAsia="宋体" w:cs="宋体"/>
          <w:bCs/>
          <w:sz w:val="20"/>
          <w:szCs w:val="20"/>
          <w:highlight w:val="none"/>
          <w:lang w:val="en-US" w:eastAsia="zh-CN"/>
        </w:rPr>
        <w:t>4、乙方需设有详细的技术资料档案和服务档案，保存项目的详细资料以便于更好地提供服务；</w:t>
      </w:r>
    </w:p>
    <w:p w14:paraId="0F753DA7">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5、乙方应对在项目执行过程中获取的所有甲方信息、网络数据及其他敏感信息承担保密责任，未经甲方书面同意，不得泄露给第三方或用于非本项目目的；</w:t>
      </w:r>
    </w:p>
    <w:p w14:paraId="4B87B042">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6、乙方应对在项目执行过程中获取的所有企业信息、个人数据及其他敏感信息承担保密责任，未经甲方书面同意，不得泄露给第三方或用于非本项目目的；</w:t>
      </w:r>
    </w:p>
    <w:p w14:paraId="79AFF8B0">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7、乙方应确保所有服务活动均符合国家法律法规、政策要求及行业规范，不得从事任何违法、违规或损害甲方利益的行为；</w:t>
      </w:r>
    </w:p>
    <w:p w14:paraId="736F1156">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8、及时向甲方通告本项目服务范围内有关服务的重大事项，及时配合处理网络安全相关投诉及突发事件；</w:t>
      </w:r>
    </w:p>
    <w:p w14:paraId="21D522AC">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9、乙方应建立有效的沟通机制，定期与甲方进行沟通，及时反馈项目执行中遇到的问题及解决方案，确保双方信息畅通，共同推动项目顺利实施；</w:t>
      </w:r>
    </w:p>
    <w:p w14:paraId="5366574A">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10、乙方应根据项目执行情况和甲方反馈，不断优化服务流程、提升服务质量，确保服务效果达到或超过甲方预期；</w:t>
      </w:r>
    </w:p>
    <w:p w14:paraId="6F253BDF">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11</w:t>
      </w:r>
      <w:r>
        <w:rPr>
          <w:rFonts w:hint="eastAsia" w:ascii="宋体" w:hAnsi="宋体" w:eastAsia="宋体" w:cs="宋体"/>
          <w:bCs/>
          <w:sz w:val="20"/>
          <w:szCs w:val="20"/>
          <w:highlight w:val="none"/>
          <w:lang w:eastAsia="zh-CN"/>
        </w:rPr>
        <w:t>、乙方应配备满足本项目需求的计算机、软件、硬件等设施设备；</w:t>
      </w:r>
    </w:p>
    <w:p w14:paraId="43FB8EF2">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12、</w:t>
      </w:r>
      <w:r>
        <w:rPr>
          <w:rFonts w:hint="eastAsia" w:ascii="宋体" w:hAnsi="宋体" w:eastAsia="宋体" w:cs="宋体"/>
          <w:bCs/>
          <w:sz w:val="20"/>
          <w:szCs w:val="20"/>
          <w:highlight w:val="none"/>
          <w:lang w:eastAsia="zh-CN"/>
        </w:rPr>
        <w:t>按合同约定时限提交各类技术服务档案，确保资料真实、完整、规范，符合甲方要求；</w:t>
      </w:r>
    </w:p>
    <w:p w14:paraId="5EBAEC0A">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13</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根据本合同的规定向甲方收取相关服务费用，并有权在本项目管理范围内管理及合理使用</w:t>
      </w:r>
      <w:r>
        <w:rPr>
          <w:rFonts w:hint="eastAsia" w:ascii="宋体" w:hAnsi="宋体" w:eastAsia="宋体" w:cs="宋体"/>
          <w:bCs/>
          <w:sz w:val="20"/>
          <w:szCs w:val="20"/>
          <w:highlight w:val="none"/>
          <w:lang w:eastAsia="zh-CN"/>
        </w:rPr>
        <w:t>；</w:t>
      </w:r>
    </w:p>
    <w:p w14:paraId="37D2FA02">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14</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及时向甲方通告本项目服务范围内有关服务的重大事项，及时配合处理投诉</w:t>
      </w:r>
      <w:r>
        <w:rPr>
          <w:rFonts w:hint="eastAsia" w:ascii="宋体" w:hAnsi="宋体" w:eastAsia="宋体" w:cs="宋体"/>
          <w:bCs/>
          <w:sz w:val="20"/>
          <w:szCs w:val="20"/>
          <w:highlight w:val="none"/>
          <w:lang w:eastAsia="zh-CN"/>
        </w:rPr>
        <w:t>；</w:t>
      </w:r>
    </w:p>
    <w:p w14:paraId="17FA108A">
      <w:pPr>
        <w:spacing w:line="360" w:lineRule="auto"/>
        <w:ind w:firstLine="400" w:firstLineChars="200"/>
        <w:rPr>
          <w:rFonts w:hint="eastAsia" w:ascii="宋体" w:hAnsi="宋体" w:eastAsia="宋体" w:cs="宋体"/>
          <w:bCs/>
          <w:color w:val="0000FF"/>
          <w:sz w:val="20"/>
          <w:szCs w:val="20"/>
          <w:highlight w:val="none"/>
          <w:lang w:eastAsia="zh-CN"/>
        </w:rPr>
      </w:pPr>
      <w:r>
        <w:rPr>
          <w:rFonts w:hint="eastAsia" w:ascii="宋体" w:hAnsi="宋体" w:eastAsia="宋体" w:cs="宋体"/>
          <w:bCs/>
          <w:sz w:val="20"/>
          <w:szCs w:val="20"/>
          <w:highlight w:val="none"/>
          <w:lang w:val="en-US" w:eastAsia="zh-CN"/>
        </w:rPr>
        <w:t>15</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接受项目行业管理部门及政府有关部门的指导，接受甲方的监督</w:t>
      </w:r>
      <w:r>
        <w:rPr>
          <w:rFonts w:hint="eastAsia" w:ascii="宋体" w:hAnsi="宋体" w:eastAsia="宋体" w:cs="宋体"/>
          <w:bCs/>
          <w:sz w:val="20"/>
          <w:szCs w:val="20"/>
          <w:highlight w:val="none"/>
          <w:lang w:eastAsia="zh-CN"/>
        </w:rPr>
        <w:t>；</w:t>
      </w:r>
    </w:p>
    <w:p w14:paraId="4DEB6B44">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16</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国家法律、法规所规定由乙方承担的其它责任</w:t>
      </w:r>
      <w:r>
        <w:rPr>
          <w:rFonts w:hint="eastAsia" w:ascii="宋体" w:hAnsi="宋体" w:eastAsia="宋体" w:cs="宋体"/>
          <w:bCs/>
          <w:sz w:val="20"/>
          <w:szCs w:val="20"/>
          <w:highlight w:val="none"/>
          <w:lang w:eastAsia="zh-CN"/>
        </w:rPr>
        <w:t>；</w:t>
      </w:r>
    </w:p>
    <w:p w14:paraId="458DE000">
      <w:pPr>
        <w:spacing w:line="360" w:lineRule="auto"/>
        <w:ind w:firstLine="400" w:firstLineChars="200"/>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17、乙方的工作人员必须严格遵守甲方的规章制度，以良好的形象和积极的工作态度，按甲方要求开展工作；</w:t>
      </w:r>
    </w:p>
    <w:p w14:paraId="3F343383">
      <w:pPr>
        <w:spacing w:line="360" w:lineRule="auto"/>
        <w:ind w:firstLine="400" w:firstLineChars="200"/>
        <w:rPr>
          <w:rFonts w:hint="eastAsia" w:ascii="宋体" w:hAnsi="宋体" w:eastAsia="宋体" w:cs="宋体"/>
          <w:bCs/>
          <w:sz w:val="20"/>
          <w:szCs w:val="20"/>
          <w:highlight w:val="none"/>
          <w:lang w:val="en-US" w:eastAsia="en-US"/>
        </w:rPr>
      </w:pPr>
      <w:r>
        <w:rPr>
          <w:rFonts w:hint="eastAsia" w:ascii="宋体" w:hAnsi="宋体" w:eastAsia="宋体" w:cs="宋体"/>
          <w:bCs/>
          <w:sz w:val="20"/>
          <w:szCs w:val="20"/>
          <w:highlight w:val="none"/>
          <w:lang w:val="en-US" w:eastAsia="zh-CN"/>
        </w:rPr>
        <w:t>18、乙方有权根据本合同约定的服务内容、标准及期限，向甲方收取相应的服务费用，甲方应按期足额支付服务费用，以确保乙方能够持续、稳定地提供高质量的服务。</w:t>
      </w:r>
    </w:p>
    <w:p w14:paraId="245129B8">
      <w:pPr>
        <w:spacing w:line="360" w:lineRule="auto"/>
        <w:ind w:firstLine="402" w:firstLineChars="200"/>
        <w:rPr>
          <w:rFonts w:hint="eastAsia" w:asciiTheme="majorEastAsia" w:hAnsiTheme="majorEastAsia" w:eastAsiaTheme="majorEastAsia" w:cstheme="majorEastAsia"/>
          <w:b/>
          <w:bCs w:val="0"/>
          <w:sz w:val="20"/>
          <w:szCs w:val="20"/>
          <w:highlight w:val="none"/>
          <w:lang w:val="en-US" w:eastAsia="zh-CN"/>
        </w:rPr>
      </w:pPr>
      <w:r>
        <w:rPr>
          <w:rFonts w:hint="eastAsia" w:asciiTheme="majorEastAsia" w:hAnsiTheme="majorEastAsia" w:eastAsiaTheme="majorEastAsia" w:cstheme="majorEastAsia"/>
          <w:b/>
          <w:bCs w:val="0"/>
          <w:sz w:val="20"/>
          <w:szCs w:val="20"/>
          <w:highlight w:val="none"/>
        </w:rPr>
        <w:t xml:space="preserve">第七条  </w:t>
      </w:r>
      <w:r>
        <w:rPr>
          <w:rFonts w:hint="eastAsia" w:asciiTheme="majorEastAsia" w:hAnsiTheme="majorEastAsia" w:eastAsiaTheme="majorEastAsia" w:cstheme="majorEastAsia"/>
          <w:b/>
          <w:bCs w:val="0"/>
          <w:sz w:val="20"/>
          <w:szCs w:val="20"/>
          <w:highlight w:val="none"/>
          <w:lang w:val="en-US" w:eastAsia="zh-CN"/>
        </w:rPr>
        <w:t>保密条款</w:t>
      </w:r>
    </w:p>
    <w:p w14:paraId="48CA5763">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1、所有与本项目有关的甲方信息,包括甲方的专有财产和保密信息，未经甲方书面同意，乙方不得向任何第三方泄露该信息。乙方承诺仅在本项目而使用，仅限乙方及本单位相关人员使用并履行本合同规定的保密义务；本项目终止时，返还给甲方或在甲方的监督下销毁；</w:t>
      </w:r>
    </w:p>
    <w:p w14:paraId="4A792486">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2、乙方履行本项目过程中所有工作成果为保密信息，乙方只能将其用于本项目履行的目的，未经甲方许可，乙方不得将其向任何第三方透露；</w:t>
      </w:r>
    </w:p>
    <w:p w14:paraId="00D3E956">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3、乙方应采取一切措施，确保乙方向第三方提供、泄露本项目规定的保密信息。若乙方泄露了本合同规定的保密信息，乙方应向甲方承担全部赔偿责任。前述赔偿责任将包括但不限于；</w:t>
      </w:r>
    </w:p>
    <w:p w14:paraId="595E3CE0">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（1）泄露方所获得的全部收益；</w:t>
      </w:r>
    </w:p>
    <w:p w14:paraId="66E4EF4D">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（2）甲方因此所致的利润损失或因此所减少的商业收益；</w:t>
      </w:r>
    </w:p>
    <w:p w14:paraId="59DEBEAA">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（3）甲方因追究乙方违约责任所发生的全部法律费用、律师费用等；</w:t>
      </w:r>
    </w:p>
    <w:p w14:paraId="55A39FD7">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（4）本项目不论因何原因终止之后，上述保密义务继续有效，直至本项目规定的全部保密信息已通过合法途径成为社会公众所知悉的信息后终止。</w:t>
      </w:r>
    </w:p>
    <w:p w14:paraId="3C2383DE">
      <w:pPr>
        <w:spacing w:line="360" w:lineRule="auto"/>
        <w:ind w:firstLine="402" w:firstLineChars="200"/>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第</w:t>
      </w:r>
      <w:r>
        <w:rPr>
          <w:rFonts w:hint="eastAsia" w:ascii="宋体" w:hAnsi="宋体" w:eastAsia="宋体" w:cs="宋体"/>
          <w:b/>
          <w:bCs w:val="0"/>
          <w:color w:val="auto"/>
          <w:sz w:val="20"/>
          <w:szCs w:val="20"/>
          <w:highlight w:val="none"/>
          <w:lang w:val="en-US" w:eastAsia="zh-CN"/>
        </w:rPr>
        <w:t>八</w:t>
      </w:r>
      <w:r>
        <w:rPr>
          <w:rFonts w:hint="eastAsia" w:ascii="宋体" w:hAnsi="宋体" w:eastAsia="宋体" w:cs="宋体"/>
          <w:b/>
          <w:bCs w:val="0"/>
          <w:color w:val="auto"/>
          <w:sz w:val="20"/>
          <w:szCs w:val="20"/>
          <w:highlight w:val="none"/>
        </w:rPr>
        <w:t>条  违约责任</w:t>
      </w:r>
    </w:p>
    <w:p w14:paraId="6E523584">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甲乙双方必须遵守本合同并执行合同中的各项规定，保证本合同的正常履行；</w:t>
      </w:r>
    </w:p>
    <w:p w14:paraId="0FFB3694">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rPr>
        <w:t>2</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如因乙方工作人员在履行职务过程中的疏忽、失职、过错等故意或者过失原因给甲方造成损失或侵害，包括但不限于甲方本身的财产损失、网络安全风险、由此而导致的甲方对任何第三方的法律责任等，乙方对此均应承担全部的赔偿责任</w:t>
      </w:r>
      <w:r>
        <w:rPr>
          <w:rFonts w:hint="eastAsia" w:ascii="宋体" w:hAnsi="宋体" w:eastAsia="宋体" w:cs="宋体"/>
          <w:bCs/>
          <w:color w:val="auto"/>
          <w:sz w:val="20"/>
          <w:szCs w:val="20"/>
          <w:highlight w:val="none"/>
          <w:lang w:eastAsia="zh-CN"/>
        </w:rPr>
        <w:t>；</w:t>
      </w:r>
    </w:p>
    <w:p w14:paraId="5BD7B430">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3、</w:t>
      </w:r>
      <w:r>
        <w:rPr>
          <w:rFonts w:hint="eastAsia" w:asciiTheme="majorEastAsia" w:hAnsiTheme="majorEastAsia" w:eastAsiaTheme="majorEastAsia" w:cstheme="majorEastAsia"/>
          <w:bCs/>
          <w:snapToGrid w:val="0"/>
          <w:color w:val="auto"/>
          <w:kern w:val="0"/>
          <w:sz w:val="20"/>
          <w:szCs w:val="20"/>
          <w:highlight w:val="none"/>
          <w:lang w:val="en-US" w:eastAsia="en-US"/>
        </w:rPr>
        <w:t>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r>
        <w:rPr>
          <w:rFonts w:hint="eastAsia" w:asciiTheme="majorEastAsia" w:hAnsiTheme="majorEastAsia" w:eastAsiaTheme="majorEastAsia" w:cstheme="majorEastAsia"/>
          <w:bCs/>
          <w:snapToGrid w:val="0"/>
          <w:color w:val="auto"/>
          <w:kern w:val="0"/>
          <w:sz w:val="20"/>
          <w:szCs w:val="20"/>
          <w:highlight w:val="none"/>
          <w:lang w:val="en-US" w:eastAsia="zh-CN"/>
        </w:rPr>
        <w:t>；</w:t>
      </w:r>
    </w:p>
    <w:p w14:paraId="30C3B950">
      <w:pPr>
        <w:widowControl/>
        <w:kinsoku w:val="0"/>
        <w:autoSpaceDE w:val="0"/>
        <w:autoSpaceDN w:val="0"/>
        <w:adjustRightInd w:val="0"/>
        <w:snapToGrid w:val="0"/>
        <w:spacing w:line="360" w:lineRule="auto"/>
        <w:ind w:firstLine="400" w:firstLineChars="200"/>
        <w:jc w:val="left"/>
        <w:textAlignment w:val="baseline"/>
        <w:rPr>
          <w:rFonts w:hint="eastAsia" w:ascii="宋体" w:hAnsi="宋体" w:cs="宋体" w:eastAsiaTheme="majorEastAsia"/>
          <w:bCs/>
          <w:color w:val="auto"/>
          <w:sz w:val="20"/>
          <w:szCs w:val="20"/>
          <w:highlight w:val="none"/>
          <w:lang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4、</w:t>
      </w:r>
      <w:r>
        <w:rPr>
          <w:rFonts w:hint="eastAsia" w:asciiTheme="majorEastAsia" w:hAnsiTheme="majorEastAsia" w:eastAsiaTheme="majorEastAsia" w:cstheme="majorEastAsia"/>
          <w:bCs/>
          <w:snapToGrid w:val="0"/>
          <w:color w:val="auto"/>
          <w:kern w:val="0"/>
          <w:sz w:val="20"/>
          <w:szCs w:val="20"/>
          <w:highlight w:val="none"/>
          <w:lang w:val="en-US" w:eastAsia="en-US"/>
        </w:rPr>
        <w:t>乙方未按合同要求提供工作成果或其质量不能满足甲方相关要求的，甲方有权单方解除合同且有权要求乙方按照合同总额的10％向甲方承担违约责任</w:t>
      </w:r>
      <w:r>
        <w:rPr>
          <w:rFonts w:hint="eastAsia" w:asciiTheme="majorEastAsia" w:hAnsiTheme="majorEastAsia" w:eastAsiaTheme="majorEastAsia" w:cstheme="majorEastAsia"/>
          <w:bCs/>
          <w:snapToGrid w:val="0"/>
          <w:color w:val="auto"/>
          <w:kern w:val="0"/>
          <w:sz w:val="20"/>
          <w:szCs w:val="20"/>
          <w:highlight w:val="none"/>
          <w:lang w:val="en-US" w:eastAsia="zh-CN"/>
        </w:rPr>
        <w:t>；</w:t>
      </w:r>
    </w:p>
    <w:p w14:paraId="597F0D48">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5、乙方违反保密约定，泄露甲方敏感信息、工作秘密的，甲方有权终止合同，乙方需向甲方支付合同总额20%的违约金，造成甲方损失的，乙方需另行全额赔偿；</w:t>
      </w:r>
    </w:p>
    <w:p w14:paraId="2BA92D7D">
      <w:pPr>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乙方未按约定配备服务人员、设施设备，或擅自更换服务人员且未征得甲方同意，甲方有权要求乙方限期整改，整改不合格的，扣除合同总额5%的违约金，造成服务延误、质量下降的，乙方需承担由此产生的全部损失；</w:t>
      </w:r>
    </w:p>
    <w:p w14:paraId="16839CBE">
      <w:pPr>
        <w:spacing w:line="360" w:lineRule="auto"/>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rPr>
        <w:t>7、若甲方未按合同约定及时支付服务费用，每逾期1日，按应付未付金额的0.</w:t>
      </w:r>
      <w:r>
        <w:rPr>
          <w:rFonts w:hint="eastAsia" w:ascii="宋体" w:hAnsi="宋体" w:eastAsia="宋体" w:cs="宋体"/>
          <w:bCs/>
          <w:color w:val="auto"/>
          <w:sz w:val="20"/>
          <w:szCs w:val="20"/>
          <w:highlight w:val="none"/>
          <w:lang w:val="en-US" w:eastAsia="zh-CN"/>
        </w:rPr>
        <w:t>1</w:t>
      </w:r>
      <w:r>
        <w:rPr>
          <w:rFonts w:hint="eastAsia" w:ascii="宋体" w:hAnsi="宋体" w:eastAsia="宋体" w:cs="宋体"/>
          <w:bCs/>
          <w:color w:val="auto"/>
          <w:sz w:val="20"/>
          <w:szCs w:val="20"/>
          <w:highlight w:val="none"/>
        </w:rPr>
        <w:t>‰向乙方支付违约金；逾期超过30日的，乙方有权暂停提供服务，由此产生的损失由甲方承担</w:t>
      </w:r>
      <w:r>
        <w:rPr>
          <w:rFonts w:hint="eastAsia" w:ascii="宋体" w:hAnsi="宋体" w:eastAsia="宋体" w:cs="宋体"/>
          <w:bCs/>
          <w:color w:val="auto"/>
          <w:sz w:val="20"/>
          <w:szCs w:val="20"/>
          <w:highlight w:val="none"/>
          <w:lang w:eastAsia="zh-CN"/>
        </w:rPr>
        <w:t>；</w:t>
      </w:r>
    </w:p>
    <w:p w14:paraId="70E076FA">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8、</w:t>
      </w:r>
      <w:r>
        <w:rPr>
          <w:rFonts w:hint="eastAsia" w:asciiTheme="majorEastAsia" w:hAnsiTheme="majorEastAsia" w:eastAsiaTheme="majorEastAsia" w:cstheme="majorEastAsia"/>
          <w:bCs/>
          <w:snapToGrid w:val="0"/>
          <w:color w:val="auto"/>
          <w:kern w:val="0"/>
          <w:sz w:val="20"/>
          <w:szCs w:val="20"/>
          <w:highlight w:val="none"/>
          <w:lang w:val="en-US" w:eastAsia="en-US"/>
        </w:rPr>
        <w:t>合同签订后</w:t>
      </w:r>
      <w:r>
        <w:rPr>
          <w:rFonts w:hint="eastAsia" w:asciiTheme="majorEastAsia" w:hAnsiTheme="majorEastAsia" w:eastAsiaTheme="majorEastAsia" w:cstheme="majorEastAsia"/>
          <w:bCs/>
          <w:snapToGrid w:val="0"/>
          <w:color w:val="auto"/>
          <w:kern w:val="0"/>
          <w:sz w:val="20"/>
          <w:szCs w:val="20"/>
          <w:highlight w:val="none"/>
          <w:lang w:val="en-US" w:eastAsia="zh-CN"/>
        </w:rPr>
        <w:t>一日内乙方</w:t>
      </w:r>
      <w:r>
        <w:rPr>
          <w:rFonts w:hint="eastAsia" w:asciiTheme="majorEastAsia" w:hAnsiTheme="majorEastAsia" w:eastAsiaTheme="majorEastAsia" w:cstheme="majorEastAsia"/>
          <w:bCs/>
          <w:snapToGrid w:val="0"/>
          <w:color w:val="auto"/>
          <w:kern w:val="0"/>
          <w:sz w:val="20"/>
          <w:szCs w:val="20"/>
          <w:highlight w:val="none"/>
          <w:lang w:val="en-US" w:eastAsia="en-US"/>
        </w:rPr>
        <w:t>提供原厂威胁情报联防阻断授权服务原厂授权证明</w:t>
      </w:r>
      <w:r>
        <w:rPr>
          <w:rFonts w:hint="eastAsia" w:asciiTheme="majorEastAsia" w:hAnsiTheme="majorEastAsia" w:eastAsiaTheme="majorEastAsia" w:cstheme="majorEastAsia"/>
          <w:bCs/>
          <w:snapToGrid w:val="0"/>
          <w:color w:val="auto"/>
          <w:kern w:val="0"/>
          <w:sz w:val="20"/>
          <w:szCs w:val="20"/>
          <w:highlight w:val="none"/>
          <w:lang w:val="en-US" w:eastAsia="zh-CN"/>
        </w:rPr>
        <w:t>，逾期提交一天应向甲方支付违约金20000</w:t>
      </w:r>
      <w:r>
        <w:rPr>
          <w:rFonts w:hint="eastAsia" w:asciiTheme="majorEastAsia" w:hAnsiTheme="majorEastAsia" w:eastAsiaTheme="majorEastAsia" w:cstheme="majorEastAsia"/>
          <w:bCs/>
          <w:snapToGrid w:val="0"/>
          <w:color w:val="auto"/>
          <w:kern w:val="0"/>
          <w:sz w:val="20"/>
          <w:szCs w:val="20"/>
          <w:highlight w:val="none"/>
          <w:lang w:val="en-US" w:eastAsia="en-US"/>
        </w:rPr>
        <w:t>元</w:t>
      </w:r>
      <w:r>
        <w:rPr>
          <w:rFonts w:hint="eastAsia" w:asciiTheme="majorEastAsia" w:hAnsiTheme="majorEastAsia" w:eastAsiaTheme="majorEastAsia" w:cstheme="majorEastAsia"/>
          <w:bCs/>
          <w:snapToGrid w:val="0"/>
          <w:color w:val="auto"/>
          <w:kern w:val="0"/>
          <w:sz w:val="20"/>
          <w:szCs w:val="20"/>
          <w:highlight w:val="none"/>
          <w:lang w:val="en-US" w:eastAsia="zh-CN"/>
        </w:rPr>
        <w:t>；</w:t>
      </w:r>
    </w:p>
    <w:p w14:paraId="06DF2445">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auto"/>
          <w:kern w:val="0"/>
          <w:sz w:val="20"/>
          <w:szCs w:val="20"/>
          <w:highlight w:val="none"/>
          <w:lang w:val="en-US" w:eastAsia="zh-CN"/>
        </w:rPr>
      </w:pPr>
      <w:r>
        <w:rPr>
          <w:rFonts w:hint="eastAsia" w:asciiTheme="majorEastAsia" w:hAnsiTheme="majorEastAsia" w:eastAsiaTheme="majorEastAsia" w:cstheme="majorEastAsia"/>
          <w:bCs/>
          <w:snapToGrid w:val="0"/>
          <w:color w:val="auto"/>
          <w:kern w:val="0"/>
          <w:sz w:val="20"/>
          <w:szCs w:val="20"/>
          <w:highlight w:val="none"/>
          <w:lang w:val="en-US" w:eastAsia="zh-CN"/>
        </w:rPr>
        <w:t>9、乙方提供</w:t>
      </w:r>
      <w:r>
        <w:rPr>
          <w:rFonts w:hint="eastAsia" w:asciiTheme="majorEastAsia" w:hAnsiTheme="majorEastAsia" w:eastAsiaTheme="majorEastAsia" w:cstheme="majorEastAsia"/>
          <w:bCs/>
          <w:snapToGrid w:val="0"/>
          <w:color w:val="auto"/>
          <w:kern w:val="0"/>
          <w:sz w:val="20"/>
          <w:szCs w:val="20"/>
          <w:highlight w:val="none"/>
          <w:lang w:val="en-US" w:eastAsia="en-US"/>
        </w:rPr>
        <w:t>服务中断超过1小时，每次向甲方支付违约金</w:t>
      </w:r>
      <w:r>
        <w:rPr>
          <w:rFonts w:hint="eastAsia" w:asciiTheme="majorEastAsia" w:hAnsiTheme="majorEastAsia" w:eastAsiaTheme="majorEastAsia" w:cstheme="majorEastAsia"/>
          <w:bCs/>
          <w:snapToGrid w:val="0"/>
          <w:color w:val="auto"/>
          <w:kern w:val="0"/>
          <w:sz w:val="20"/>
          <w:szCs w:val="20"/>
          <w:highlight w:val="none"/>
          <w:lang w:val="en-US" w:eastAsia="zh-CN"/>
        </w:rPr>
        <w:t>10000</w:t>
      </w:r>
      <w:r>
        <w:rPr>
          <w:rFonts w:hint="eastAsia" w:asciiTheme="majorEastAsia" w:hAnsiTheme="majorEastAsia" w:eastAsiaTheme="majorEastAsia" w:cstheme="majorEastAsia"/>
          <w:bCs/>
          <w:snapToGrid w:val="0"/>
          <w:color w:val="auto"/>
          <w:kern w:val="0"/>
          <w:sz w:val="20"/>
          <w:szCs w:val="20"/>
          <w:highlight w:val="none"/>
          <w:lang w:val="en-US" w:eastAsia="en-US"/>
        </w:rPr>
        <w:t>元</w:t>
      </w:r>
      <w:r>
        <w:rPr>
          <w:rFonts w:hint="eastAsia" w:asciiTheme="majorEastAsia" w:hAnsiTheme="majorEastAsia" w:eastAsiaTheme="majorEastAsia" w:cstheme="majorEastAsia"/>
          <w:bCs/>
          <w:snapToGrid w:val="0"/>
          <w:color w:val="auto"/>
          <w:kern w:val="0"/>
          <w:sz w:val="20"/>
          <w:szCs w:val="20"/>
          <w:highlight w:val="none"/>
          <w:lang w:val="en-US" w:eastAsia="zh-CN"/>
        </w:rPr>
        <w:t>。</w:t>
      </w:r>
    </w:p>
    <w:p w14:paraId="684EA420">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九</w:t>
      </w:r>
      <w:r>
        <w:rPr>
          <w:rFonts w:hint="eastAsia" w:ascii="宋体" w:hAnsi="宋体" w:eastAsia="宋体" w:cs="宋体"/>
          <w:b/>
          <w:bCs w:val="0"/>
          <w:sz w:val="20"/>
          <w:szCs w:val="20"/>
          <w:highlight w:val="none"/>
        </w:rPr>
        <w:t>条  不可抗力事件处理</w:t>
      </w:r>
    </w:p>
    <w:p w14:paraId="2E9C24DA">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1、</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不可抗力指下列事件:战争、骚乱、瘟疫、火灾、洪水、地震、风暴、潮水或其他自然灾害，以及本合同双方不可预见、不可防止并不能避免或克服的一切其他因素和事件</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4DF2AAD1">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2、</w:t>
      </w:r>
      <w:r>
        <w:rPr>
          <w:rFonts w:hint="eastAsia" w:asciiTheme="majorEastAsia" w:hAnsiTheme="majorEastAsia" w:eastAsiaTheme="majorEastAsia" w:cstheme="majorEastAsia"/>
          <w:bCs/>
          <w:snapToGrid w:val="0"/>
          <w:color w:val="000000"/>
          <w:kern w:val="0"/>
          <w:sz w:val="20"/>
          <w:szCs w:val="20"/>
          <w:highlight w:val="none"/>
          <w:lang w:val="en-US" w:eastAsia="en-US"/>
        </w:rPr>
        <w:t>本合同任何一方因不可抗力不能履行本合同规定的全部或部分义务，应及时通知合同相对方</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007C8D3A">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en-US"/>
        </w:rPr>
        <w:t>3</w:t>
      </w:r>
      <w:r>
        <w:rPr>
          <w:rFonts w:hint="eastAsia" w:asciiTheme="majorEastAsia" w:hAnsiTheme="majorEastAsia" w:eastAsiaTheme="majorEastAsia" w:cstheme="majorEastAsia"/>
          <w:bCs/>
          <w:snapToGrid w:val="0"/>
          <w:color w:val="000000"/>
          <w:kern w:val="0"/>
          <w:sz w:val="20"/>
          <w:szCs w:val="20"/>
          <w:highlight w:val="none"/>
          <w:lang w:val="en-US" w:eastAsia="zh-CN"/>
        </w:rPr>
        <w:t>、</w:t>
      </w:r>
      <w:r>
        <w:rPr>
          <w:rFonts w:hint="eastAsia" w:asciiTheme="majorEastAsia" w:hAnsiTheme="majorEastAsia" w:eastAsiaTheme="majorEastAsia" w:cstheme="majorEastAsia"/>
          <w:bCs/>
          <w:snapToGrid w:val="0"/>
          <w:color w:val="000000"/>
          <w:kern w:val="0"/>
          <w:sz w:val="20"/>
          <w:szCs w:val="20"/>
          <w:highlight w:val="none"/>
          <w:lang w:val="en-US" w:eastAsia="en-US"/>
        </w:rPr>
        <w:t>发生不可抗力事件，本合同任何一方均不对因不可抗力无法履行或迟延履行本合同义务而使对方蒙受的任何损失承担责任。但遭受不可抗力影响的一方有责任尽可能及时采取适当或必要措施减少或消除不可抗力的影响。遭受不可抗力影响的一方对因未尽本项责任而造成对方的相关损失承担责任</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52ADA93C">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4、</w:t>
      </w:r>
      <w:r>
        <w:rPr>
          <w:rFonts w:hint="eastAsia" w:asciiTheme="majorEastAsia" w:hAnsiTheme="majorEastAsia" w:eastAsiaTheme="majorEastAsia" w:cstheme="majorEastAsia"/>
          <w:bCs/>
          <w:snapToGrid w:val="0"/>
          <w:color w:val="000000"/>
          <w:kern w:val="0"/>
          <w:sz w:val="20"/>
          <w:szCs w:val="20"/>
          <w:highlight w:val="none"/>
          <w:lang w:val="en-US" w:eastAsia="en-US"/>
        </w:rPr>
        <w:t>在合同有效期内，任何一方因不可抗力事件导致不能履行合同，则合同履行期可延长，其延长期与不可抗力影响期相同</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6B0149A9">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5、</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不可抗力事件发生后，应立即通知对方，并寄送有关权威机构出具的证明</w:t>
      </w:r>
      <w:r>
        <w:rPr>
          <w:rFonts w:hint="eastAsia" w:asciiTheme="majorEastAsia" w:hAnsiTheme="majorEastAsia" w:eastAsiaTheme="majorEastAsia" w:cstheme="majorEastAsia"/>
          <w:bCs/>
          <w:snapToGrid w:val="0"/>
          <w:color w:val="000000"/>
          <w:kern w:val="0"/>
          <w:sz w:val="20"/>
          <w:szCs w:val="20"/>
          <w:highlight w:val="none"/>
          <w:lang w:eastAsia="zh-CN"/>
        </w:rPr>
        <w:t>；</w:t>
      </w:r>
    </w:p>
    <w:p w14:paraId="13B7D5B4">
      <w:pPr>
        <w:widowControl/>
        <w:kinsoku w:val="0"/>
        <w:autoSpaceDE w:val="0"/>
        <w:autoSpaceDN w:val="0"/>
        <w:adjustRightInd w:val="0"/>
        <w:snapToGrid w:val="0"/>
        <w:spacing w:line="360" w:lineRule="auto"/>
        <w:ind w:firstLine="400" w:firstLineChars="200"/>
        <w:jc w:val="left"/>
        <w:textAlignment w:val="baseline"/>
        <w:rPr>
          <w:rFonts w:hint="eastAsia" w:asciiTheme="majorEastAsia" w:hAnsiTheme="majorEastAsia" w:eastAsiaTheme="majorEastAsia" w:cstheme="majorEastAsia"/>
          <w:bCs/>
          <w:snapToGrid w:val="0"/>
          <w:color w:val="000000"/>
          <w:kern w:val="0"/>
          <w:sz w:val="20"/>
          <w:szCs w:val="20"/>
          <w:highlight w:val="none"/>
          <w:lang w:val="en-US" w:eastAsia="en-US"/>
        </w:rPr>
      </w:pPr>
      <w:r>
        <w:rPr>
          <w:rFonts w:hint="eastAsia" w:asciiTheme="majorEastAsia" w:hAnsiTheme="majorEastAsia" w:eastAsiaTheme="majorEastAsia" w:cstheme="majorEastAsia"/>
          <w:bCs/>
          <w:snapToGrid w:val="0"/>
          <w:color w:val="000000"/>
          <w:kern w:val="0"/>
          <w:sz w:val="20"/>
          <w:szCs w:val="20"/>
          <w:highlight w:val="none"/>
          <w:lang w:val="en-US" w:eastAsia="zh-CN"/>
        </w:rPr>
        <w:t>6、</w:t>
      </w:r>
      <w:r>
        <w:rPr>
          <w:rFonts w:hint="eastAsia" w:asciiTheme="majorEastAsia" w:hAnsiTheme="majorEastAsia" w:eastAsiaTheme="majorEastAsia" w:cstheme="majorEastAsia"/>
          <w:bCs/>
          <w:snapToGrid w:val="0"/>
          <w:color w:val="000000"/>
          <w:kern w:val="0"/>
          <w:sz w:val="20"/>
          <w:szCs w:val="20"/>
          <w:highlight w:val="none"/>
          <w:lang w:val="en-US" w:eastAsia="en-US"/>
        </w:rPr>
        <w:t>不可抗力事件延续</w:t>
      </w:r>
      <w:r>
        <w:rPr>
          <w:rFonts w:hint="eastAsia" w:asciiTheme="majorEastAsia" w:hAnsiTheme="majorEastAsia" w:eastAsiaTheme="majorEastAsia" w:cstheme="majorEastAsia"/>
          <w:bCs/>
          <w:snapToGrid w:val="0"/>
          <w:color w:val="000000"/>
          <w:kern w:val="0"/>
          <w:sz w:val="20"/>
          <w:szCs w:val="20"/>
          <w:highlight w:val="none"/>
          <w:u w:val="single"/>
          <w:lang w:val="en-US" w:eastAsia="en-US"/>
        </w:rPr>
        <w:t xml:space="preserve">     </w:t>
      </w:r>
      <w:r>
        <w:rPr>
          <w:rFonts w:hint="eastAsia" w:asciiTheme="majorEastAsia" w:hAnsiTheme="majorEastAsia" w:eastAsiaTheme="majorEastAsia" w:cstheme="majorEastAsia"/>
          <w:bCs/>
          <w:snapToGrid w:val="0"/>
          <w:color w:val="000000"/>
          <w:kern w:val="0"/>
          <w:sz w:val="20"/>
          <w:szCs w:val="20"/>
          <w:highlight w:val="none"/>
          <w:lang w:val="en-US" w:eastAsia="en-US"/>
        </w:rPr>
        <w:t>天以上，双方应通过友好协商，确定是否继续履行合同。</w:t>
      </w:r>
    </w:p>
    <w:p w14:paraId="118F2036">
      <w:pPr>
        <w:spacing w:line="360" w:lineRule="auto"/>
        <w:ind w:firstLine="402" w:firstLineChars="200"/>
        <w:rPr>
          <w:rFonts w:hint="eastAsia" w:ascii="宋体" w:hAnsi="宋体" w:eastAsia="宋体" w:cs="宋体"/>
          <w:bCs/>
          <w:sz w:val="20"/>
          <w:szCs w:val="20"/>
          <w:highlight w:val="none"/>
        </w:rPr>
      </w:pPr>
      <w:r>
        <w:rPr>
          <w:rFonts w:hint="eastAsia" w:ascii="宋体" w:hAnsi="宋体" w:eastAsia="宋体" w:cs="宋体"/>
          <w:b/>
          <w:bCs w:val="0"/>
          <w:sz w:val="20"/>
          <w:szCs w:val="20"/>
          <w:highlight w:val="none"/>
        </w:rPr>
        <w:t>第</w:t>
      </w:r>
      <w:r>
        <w:rPr>
          <w:rFonts w:hint="eastAsia" w:ascii="宋体" w:hAnsi="宋体" w:eastAsia="宋体" w:cs="宋体"/>
          <w:b/>
          <w:bCs w:val="0"/>
          <w:sz w:val="20"/>
          <w:szCs w:val="20"/>
          <w:highlight w:val="none"/>
          <w:lang w:val="en-US" w:eastAsia="zh-CN"/>
        </w:rPr>
        <w:t>十</w:t>
      </w:r>
      <w:r>
        <w:rPr>
          <w:rFonts w:hint="eastAsia" w:ascii="宋体" w:hAnsi="宋体" w:eastAsia="宋体" w:cs="宋体"/>
          <w:b/>
          <w:bCs w:val="0"/>
          <w:sz w:val="20"/>
          <w:szCs w:val="20"/>
          <w:highlight w:val="none"/>
        </w:rPr>
        <w:t>条  合同的变更和终止</w:t>
      </w:r>
    </w:p>
    <w:p w14:paraId="4658BF0E">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除</w:t>
      </w:r>
      <w:r>
        <w:rPr>
          <w:rFonts w:hint="eastAsia" w:ascii="宋体" w:hAnsi="宋体" w:eastAsia="宋体" w:cs="宋体"/>
          <w:bCs/>
          <w:sz w:val="20"/>
          <w:szCs w:val="20"/>
          <w:highlight w:val="none"/>
          <w:lang w:val="en-US" w:eastAsia="zh-CN"/>
        </w:rPr>
        <w:t>以下列出的</w:t>
      </w:r>
      <w:r>
        <w:rPr>
          <w:rFonts w:hint="eastAsia" w:ascii="宋体" w:hAnsi="宋体" w:eastAsia="宋体" w:cs="宋体"/>
          <w:bCs/>
          <w:sz w:val="20"/>
          <w:szCs w:val="20"/>
          <w:highlight w:val="none"/>
        </w:rPr>
        <w:t>《中华人民共和国政府采购法》第49条、第50条第二款规定的情形外</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rPr>
        <w:t>本合同一经签订，甲乙双方不得擅自变更、中止或终止合同</w:t>
      </w:r>
      <w:r>
        <w:rPr>
          <w:rFonts w:hint="eastAsia" w:ascii="宋体" w:hAnsi="宋体" w:eastAsia="宋体" w:cs="宋体"/>
          <w:bCs/>
          <w:sz w:val="20"/>
          <w:szCs w:val="20"/>
          <w:highlight w:val="none"/>
          <w:lang w:eastAsia="zh-CN"/>
        </w:rPr>
        <w:t>；</w:t>
      </w:r>
    </w:p>
    <w:p w14:paraId="70F553ED">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lang w:val="en-US" w:eastAsia="zh-CN"/>
        </w:rPr>
        <w:t>1、</w:t>
      </w:r>
      <w:r>
        <w:rPr>
          <w:rFonts w:hint="eastAsia" w:ascii="宋体" w:hAnsi="宋体" w:eastAsia="宋体" w:cs="宋体"/>
          <w:bCs/>
          <w:sz w:val="20"/>
          <w:szCs w:val="20"/>
          <w:highlight w:val="none"/>
        </w:rPr>
        <w:t>政府采购合同履行中，</w:t>
      </w:r>
      <w:r>
        <w:rPr>
          <w:rFonts w:hint="eastAsia" w:ascii="宋体" w:hAnsi="宋体" w:eastAsia="宋体" w:cs="宋体"/>
          <w:bCs/>
          <w:sz w:val="20"/>
          <w:szCs w:val="20"/>
          <w:highlight w:val="none"/>
          <w:lang w:val="en-US" w:eastAsia="zh-CN"/>
        </w:rPr>
        <w:t>甲方</w:t>
      </w:r>
      <w:r>
        <w:rPr>
          <w:rFonts w:hint="eastAsia" w:ascii="宋体" w:hAnsi="宋体" w:eastAsia="宋体" w:cs="宋体"/>
          <w:bCs/>
          <w:sz w:val="20"/>
          <w:szCs w:val="20"/>
          <w:highlight w:val="none"/>
        </w:rPr>
        <w:t>需追加与合同标的相同的货物、工程或者服务的，在不改变合同其他条款的前提下，可以与</w:t>
      </w:r>
      <w:r>
        <w:rPr>
          <w:rFonts w:hint="eastAsia" w:ascii="宋体" w:hAnsi="宋体" w:eastAsia="宋体" w:cs="宋体"/>
          <w:bCs/>
          <w:sz w:val="20"/>
          <w:szCs w:val="20"/>
          <w:highlight w:val="none"/>
          <w:lang w:val="en-US" w:eastAsia="zh-CN"/>
        </w:rPr>
        <w:t>乙方</w:t>
      </w:r>
      <w:r>
        <w:rPr>
          <w:rFonts w:hint="eastAsia" w:ascii="宋体" w:hAnsi="宋体" w:eastAsia="宋体" w:cs="宋体"/>
          <w:bCs/>
          <w:sz w:val="20"/>
          <w:szCs w:val="20"/>
          <w:highlight w:val="none"/>
        </w:rPr>
        <w:t>协商签订补充合同，但所有补充合同的采购金额不得超过原合同采购金额的百分之十</w:t>
      </w:r>
      <w:r>
        <w:rPr>
          <w:rFonts w:hint="eastAsia" w:ascii="宋体" w:hAnsi="宋体" w:eastAsia="宋体" w:cs="宋体"/>
          <w:bCs/>
          <w:sz w:val="20"/>
          <w:szCs w:val="20"/>
          <w:highlight w:val="none"/>
          <w:lang w:eastAsia="zh-CN"/>
        </w:rPr>
        <w:t>；</w:t>
      </w:r>
    </w:p>
    <w:p w14:paraId="6DD49818">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lang w:val="en-US" w:eastAsia="zh-CN"/>
        </w:rPr>
        <w:t>2、</w:t>
      </w:r>
      <w:r>
        <w:rPr>
          <w:rFonts w:hint="eastAsia" w:ascii="宋体" w:hAnsi="宋体" w:eastAsia="宋体" w:cs="宋体"/>
          <w:bCs/>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34BB43C8">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第十</w:t>
      </w:r>
      <w:r>
        <w:rPr>
          <w:rFonts w:hint="eastAsia" w:ascii="宋体" w:hAnsi="宋体" w:eastAsia="宋体" w:cs="宋体"/>
          <w:b/>
          <w:bCs w:val="0"/>
          <w:sz w:val="20"/>
          <w:szCs w:val="20"/>
          <w:highlight w:val="none"/>
          <w:lang w:val="en-US" w:eastAsia="zh-CN"/>
        </w:rPr>
        <w:t>一</w:t>
      </w:r>
      <w:r>
        <w:rPr>
          <w:rFonts w:hint="eastAsia" w:ascii="宋体" w:hAnsi="宋体" w:eastAsia="宋体" w:cs="宋体"/>
          <w:b/>
          <w:bCs w:val="0"/>
          <w:sz w:val="20"/>
          <w:szCs w:val="20"/>
          <w:highlight w:val="none"/>
        </w:rPr>
        <w:t>条  解决合同纠纷的方式</w:t>
      </w:r>
    </w:p>
    <w:p w14:paraId="5598E4C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在执行本合同中发生的或与本合同有关的争端，双方应通过友好协商解决，经协商在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天内不能达成协议时，则采取以下第 1 种方式解决争议：</w:t>
      </w:r>
    </w:p>
    <w:p w14:paraId="2AF40AA2">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（1）向甲方所在地有管辖权的人民法院提起诉讼；</w:t>
      </w:r>
    </w:p>
    <w:p w14:paraId="73DDD6BD">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（2）向</w:t>
      </w:r>
      <w:r>
        <w:rPr>
          <w:rFonts w:hint="eastAsia" w:ascii="宋体" w:hAnsi="宋体" w:eastAsia="宋体" w:cs="宋体"/>
          <w:bCs/>
          <w:sz w:val="20"/>
          <w:szCs w:val="20"/>
          <w:highlight w:val="none"/>
          <w:u w:val="single"/>
          <w:lang w:val="en-US" w:eastAsia="zh-CN"/>
        </w:rPr>
        <w:t>西安</w:t>
      </w:r>
      <w:r>
        <w:rPr>
          <w:rFonts w:hint="eastAsia" w:ascii="宋体" w:hAnsi="宋体" w:eastAsia="宋体" w:cs="宋体"/>
          <w:bCs/>
          <w:sz w:val="20"/>
          <w:szCs w:val="20"/>
          <w:highlight w:val="none"/>
        </w:rPr>
        <w:t>仲裁委员会按其仲裁规则申请仲裁。</w:t>
      </w:r>
    </w:p>
    <w:p w14:paraId="667A846B">
      <w:pPr>
        <w:spacing w:line="360" w:lineRule="auto"/>
        <w:ind w:firstLine="402" w:firstLineChars="200"/>
        <w:rPr>
          <w:rFonts w:hint="eastAsia" w:ascii="宋体" w:hAnsi="宋体" w:eastAsia="宋体" w:cs="宋体"/>
          <w:b/>
          <w:bCs w:val="0"/>
          <w:sz w:val="20"/>
          <w:szCs w:val="20"/>
          <w:highlight w:val="none"/>
        </w:rPr>
      </w:pPr>
      <w:r>
        <w:rPr>
          <w:rFonts w:hint="eastAsia" w:ascii="宋体" w:hAnsi="宋体" w:eastAsia="宋体" w:cs="宋体"/>
          <w:b/>
          <w:bCs w:val="0"/>
          <w:sz w:val="20"/>
          <w:szCs w:val="20"/>
          <w:highlight w:val="none"/>
        </w:rPr>
        <w:t>第十</w:t>
      </w:r>
      <w:r>
        <w:rPr>
          <w:rFonts w:hint="eastAsia" w:ascii="宋体" w:hAnsi="宋体" w:eastAsia="宋体" w:cs="宋体"/>
          <w:b/>
          <w:bCs w:val="0"/>
          <w:sz w:val="20"/>
          <w:szCs w:val="20"/>
          <w:highlight w:val="none"/>
          <w:lang w:val="en-US" w:eastAsia="zh-CN"/>
        </w:rPr>
        <w:t>二</w:t>
      </w:r>
      <w:r>
        <w:rPr>
          <w:rFonts w:hint="eastAsia" w:ascii="宋体" w:hAnsi="宋体" w:eastAsia="宋体" w:cs="宋体"/>
          <w:b/>
          <w:bCs w:val="0"/>
          <w:sz w:val="20"/>
          <w:szCs w:val="20"/>
          <w:highlight w:val="none"/>
        </w:rPr>
        <w:t>条  合同生效及其他</w:t>
      </w:r>
    </w:p>
    <w:p w14:paraId="67D5FF82">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1、合同经双方法定代表人（单位负责人）签字并加盖单位公章后生效</w:t>
      </w:r>
      <w:r>
        <w:rPr>
          <w:rFonts w:hint="eastAsia" w:ascii="宋体" w:hAnsi="宋体" w:eastAsia="宋体" w:cs="宋体"/>
          <w:bCs/>
          <w:sz w:val="20"/>
          <w:szCs w:val="20"/>
          <w:highlight w:val="none"/>
          <w:lang w:eastAsia="zh-CN"/>
        </w:rPr>
        <w:t>；</w:t>
      </w:r>
    </w:p>
    <w:p w14:paraId="60ADA51B">
      <w:pPr>
        <w:spacing w:line="360" w:lineRule="auto"/>
        <w:ind w:firstLine="400" w:firstLineChars="200"/>
        <w:rPr>
          <w:rFonts w:hint="eastAsia" w:ascii="宋体" w:hAnsi="宋体" w:eastAsia="宋体" w:cs="宋体"/>
          <w:bCs/>
          <w:sz w:val="20"/>
          <w:szCs w:val="20"/>
          <w:highlight w:val="none"/>
          <w:lang w:eastAsia="zh-CN"/>
        </w:rPr>
      </w:pPr>
      <w:r>
        <w:rPr>
          <w:rFonts w:hint="eastAsia" w:ascii="宋体" w:hAnsi="宋体" w:eastAsia="宋体" w:cs="宋体"/>
          <w:bCs/>
          <w:sz w:val="20"/>
          <w:szCs w:val="20"/>
          <w:highlight w:val="none"/>
        </w:rPr>
        <w:t>2、合同执行中涉及采购资金和采购内容修改或补充的，须经政府采购监管部门审批，并签书面补充协议报政府采购监督管理部门备案，方可作为主合同不可分割的一部分</w:t>
      </w:r>
      <w:r>
        <w:rPr>
          <w:rFonts w:hint="eastAsia" w:ascii="宋体" w:hAnsi="宋体" w:eastAsia="宋体" w:cs="宋体"/>
          <w:bCs/>
          <w:sz w:val="20"/>
          <w:szCs w:val="20"/>
          <w:highlight w:val="none"/>
          <w:lang w:eastAsia="zh-CN"/>
        </w:rPr>
        <w:t>；</w:t>
      </w:r>
    </w:p>
    <w:p w14:paraId="157E3C15">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3、本合同一式陆份，甲方贰份，乙方贰份，政府采购代理机构壹份，同级财政部门备案壹份，具有同等法律效力。</w:t>
      </w:r>
    </w:p>
    <w:p w14:paraId="324DEAE5">
      <w:pPr>
        <w:pStyle w:val="6"/>
        <w:shd w:val="clear" w:color="auto" w:fill="auto"/>
        <w:tabs>
          <w:tab w:val="left" w:pos="567"/>
        </w:tabs>
        <w:spacing w:line="360" w:lineRule="auto"/>
        <w:ind w:firstLine="281"/>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第十</w:t>
      </w:r>
      <w:r>
        <w:rPr>
          <w:rFonts w:hint="eastAsia" w:ascii="宋体" w:eastAsia="宋体" w:cs="宋体"/>
          <w:b/>
          <w:bCs/>
          <w:kern w:val="0"/>
          <w:sz w:val="20"/>
          <w:szCs w:val="20"/>
          <w:highlight w:val="none"/>
          <w:lang w:val="en-US" w:eastAsia="zh-CN"/>
        </w:rPr>
        <w:t>三</w:t>
      </w:r>
      <w:r>
        <w:rPr>
          <w:rFonts w:hint="eastAsia" w:ascii="宋体" w:hAnsi="宋体" w:eastAsia="宋体" w:cs="宋体"/>
          <w:b/>
          <w:bCs/>
          <w:kern w:val="0"/>
          <w:sz w:val="20"/>
          <w:szCs w:val="20"/>
          <w:highlight w:val="none"/>
        </w:rPr>
        <w:t>条  信用融资（如有）</w:t>
      </w:r>
    </w:p>
    <w:p w14:paraId="25B4F598">
      <w:pPr>
        <w:pStyle w:val="6"/>
        <w:shd w:val="clear" w:color="auto" w:fill="auto"/>
        <w:tabs>
          <w:tab w:val="left" w:pos="567"/>
        </w:tabs>
        <w:spacing w:line="360" w:lineRule="auto"/>
        <w:ind w:firstLine="280"/>
        <w:rPr>
          <w:rFonts w:hint="eastAsia" w:ascii="宋体" w:hAnsi="宋体" w:eastAsia="宋体" w:cs="宋体"/>
          <w:sz w:val="20"/>
          <w:szCs w:val="20"/>
          <w:highlight w:val="none"/>
        </w:rPr>
      </w:pPr>
      <w:r>
        <w:rPr>
          <w:rFonts w:hint="eastAsia" w:ascii="宋体" w:hAnsi="宋体" w:eastAsia="宋体" w:cs="宋体"/>
          <w:kern w:val="0"/>
          <w:sz w:val="20"/>
          <w:szCs w:val="20"/>
          <w:highlight w:val="none"/>
        </w:rPr>
        <w:t>银行名称：</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rPr>
        <w:t>，收款账号：</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u w:val="single"/>
          <w:lang w:val="en-US" w:eastAsia="zh-CN"/>
        </w:rPr>
        <w:t xml:space="preserve">               </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w:t>
      </w:r>
    </w:p>
    <w:p w14:paraId="3953FFA4">
      <w:pPr>
        <w:spacing w:line="360" w:lineRule="auto"/>
        <w:ind w:firstLine="400" w:firstLineChars="200"/>
        <w:rPr>
          <w:rFonts w:hint="eastAsia" w:ascii="宋体" w:hAnsi="宋体" w:eastAsia="宋体" w:cs="宋体"/>
          <w:bCs/>
          <w:sz w:val="20"/>
          <w:szCs w:val="20"/>
          <w:highlight w:val="none"/>
        </w:rPr>
      </w:pPr>
    </w:p>
    <w:p w14:paraId="4BE3F74D">
      <w:pPr>
        <w:pStyle w:val="2"/>
        <w:rPr>
          <w:rFonts w:hint="eastAsia"/>
        </w:rPr>
      </w:pPr>
    </w:p>
    <w:p w14:paraId="23061EB8">
      <w:pPr>
        <w:rPr>
          <w:rFonts w:hint="eastAsia" w:ascii="宋体" w:hAnsi="宋体" w:eastAsia="宋体" w:cs="宋体"/>
          <w:bCs/>
          <w:sz w:val="20"/>
          <w:szCs w:val="20"/>
          <w:highlight w:val="none"/>
        </w:rPr>
      </w:pPr>
      <w:r>
        <w:rPr>
          <w:rFonts w:hint="eastAsia" w:ascii="宋体" w:hAnsi="宋体" w:eastAsia="宋体" w:cs="宋体"/>
          <w:bCs/>
          <w:sz w:val="20"/>
          <w:szCs w:val="20"/>
          <w:highlight w:val="none"/>
        </w:rPr>
        <w:br w:type="page"/>
      </w:r>
    </w:p>
    <w:p w14:paraId="3851AFEA">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甲    方：         （盖章）   </w:t>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 xml:space="preserve">     乙方：              （盖章）</w:t>
      </w:r>
    </w:p>
    <w:p w14:paraId="4F05E4A0">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       （单位负责人）    法定代表人：        （单位负责人）</w:t>
      </w:r>
    </w:p>
    <w:p w14:paraId="0ABA5905">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地    址：                           地    址：</w:t>
      </w:r>
    </w:p>
    <w:p w14:paraId="46BB23CA">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开户银行：                           开户银行：</w:t>
      </w:r>
    </w:p>
    <w:p w14:paraId="1D527701">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账    号：                           账    号：</w:t>
      </w:r>
    </w:p>
    <w:p w14:paraId="53E701CF">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电    话：                           电    话：</w:t>
      </w:r>
    </w:p>
    <w:p w14:paraId="73EACF33">
      <w:pPr>
        <w:spacing w:line="360" w:lineRule="auto"/>
        <w:ind w:firstLine="400" w:firstLineChars="200"/>
        <w:rPr>
          <w:rFonts w:hint="eastAsia" w:ascii="宋体" w:hAnsi="宋体" w:eastAsia="宋体" w:cs="宋体"/>
          <w:bCs/>
          <w:sz w:val="20"/>
          <w:szCs w:val="20"/>
          <w:highlight w:val="none"/>
        </w:rPr>
      </w:pPr>
      <w:r>
        <w:rPr>
          <w:rFonts w:hint="eastAsia" w:ascii="宋体" w:hAnsi="宋体" w:eastAsia="宋体" w:cs="宋体"/>
          <w:bCs/>
          <w:sz w:val="20"/>
          <w:szCs w:val="20"/>
          <w:highlight w:val="none"/>
        </w:rPr>
        <w:t>传    真：                           传    真：</w:t>
      </w:r>
    </w:p>
    <w:p w14:paraId="559CC2E8">
      <w:pPr>
        <w:pStyle w:val="10"/>
        <w:numPr>
          <w:ilvl w:val="0"/>
          <w:numId w:val="0"/>
        </w:numPr>
        <w:spacing w:line="360" w:lineRule="auto"/>
        <w:ind w:firstLine="400" w:firstLineChars="200"/>
        <w:jc w:val="left"/>
        <w:rPr>
          <w:rFonts w:hint="eastAsia" w:ascii="宋体" w:hAnsi="宋体" w:eastAsia="宋体" w:cs="宋体"/>
          <w:bCs/>
          <w:sz w:val="20"/>
          <w:szCs w:val="20"/>
          <w:highlight w:val="none"/>
        </w:rPr>
      </w:pPr>
      <w:r>
        <w:rPr>
          <w:rFonts w:hint="eastAsia" w:ascii="宋体" w:hAnsi="宋体" w:eastAsia="宋体" w:cs="宋体"/>
          <w:bCs/>
          <w:sz w:val="20"/>
          <w:szCs w:val="20"/>
          <w:highlight w:val="none"/>
        </w:rPr>
        <w:t xml:space="preserve">签约日期：   年   月   日 </w:t>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ab/>
      </w:r>
      <w:r>
        <w:rPr>
          <w:rFonts w:hint="eastAsia" w:ascii="宋体" w:hAnsi="宋体" w:eastAsia="宋体" w:cs="宋体"/>
          <w:bCs/>
          <w:sz w:val="20"/>
          <w:szCs w:val="20"/>
          <w:highlight w:val="none"/>
        </w:rPr>
        <w:t xml:space="preserve"> 签约日期：   年   月   日</w:t>
      </w:r>
    </w:p>
    <w:p w14:paraId="717AB827">
      <w:pPr>
        <w:rPr>
          <w:rFonts w:hint="eastAsia" w:ascii="仿宋" w:hAnsi="仿宋" w:eastAsia="仿宋" w:cs="仿宋"/>
          <w:b/>
          <w:bCs/>
          <w:color w:val="auto"/>
          <w:spacing w:val="-10"/>
          <w:sz w:val="30"/>
        </w:rPr>
      </w:pPr>
      <w:r>
        <w:rPr>
          <w:rFonts w:hint="eastAsia" w:ascii="仿宋" w:hAnsi="仿宋" w:eastAsia="仿宋" w:cs="仿宋"/>
          <w:b/>
          <w:bCs/>
          <w:color w:val="auto"/>
          <w:spacing w:val="-10"/>
          <w:sz w:val="30"/>
        </w:rPr>
        <w:br w:type="page"/>
      </w:r>
    </w:p>
    <w:p w14:paraId="6957E870">
      <w:pPr>
        <w:pStyle w:val="11"/>
        <w:rPr>
          <w:rFonts w:hint="eastAsia" w:ascii="仿宋" w:hAnsi="仿宋" w:eastAsia="仿宋" w:cs="仿宋"/>
          <w:b/>
          <w:bCs/>
          <w:color w:val="auto"/>
          <w:spacing w:val="-10"/>
          <w:sz w:val="30"/>
        </w:rPr>
      </w:pPr>
      <w:r>
        <w:rPr>
          <w:rFonts w:hint="eastAsia" w:ascii="仿宋" w:hAnsi="仿宋" w:eastAsia="仿宋" w:cs="仿宋"/>
          <w:b/>
          <w:bCs/>
          <w:color w:val="auto"/>
          <w:spacing w:val="-10"/>
          <w:sz w:val="30"/>
        </w:rPr>
        <w:t>附件1：</w:t>
      </w:r>
    </w:p>
    <w:p w14:paraId="6D71A60A">
      <w:pPr>
        <w:pStyle w:val="11"/>
        <w:jc w:val="center"/>
        <w:rPr>
          <w:rFonts w:hint="eastAsia" w:ascii="仿宋" w:hAnsi="仿宋" w:eastAsia="仿宋" w:cs="仿宋"/>
          <w:b/>
          <w:bCs/>
          <w:color w:val="auto"/>
          <w:spacing w:val="-10"/>
          <w:sz w:val="30"/>
          <w:lang w:val="en-US" w:eastAsia="zh-CN"/>
        </w:rPr>
      </w:pPr>
      <w:r>
        <w:rPr>
          <w:rFonts w:hint="eastAsia" w:ascii="仿宋" w:hAnsi="仿宋" w:eastAsia="仿宋" w:cs="仿宋"/>
          <w:b/>
          <w:bCs/>
          <w:color w:val="auto"/>
          <w:spacing w:val="-10"/>
          <w:sz w:val="30"/>
        </w:rPr>
        <w:t>服务内容</w:t>
      </w:r>
      <w:r>
        <w:rPr>
          <w:rFonts w:hint="eastAsia" w:ascii="仿宋" w:hAnsi="仿宋" w:eastAsia="仿宋" w:cs="仿宋"/>
          <w:b/>
          <w:bCs/>
          <w:color w:val="auto"/>
          <w:spacing w:val="-10"/>
          <w:sz w:val="30"/>
          <w:lang w:val="en-US" w:eastAsia="zh-CN"/>
        </w:rPr>
        <w:t>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465"/>
        <w:gridCol w:w="6356"/>
      </w:tblGrid>
      <w:tr w14:paraId="0E57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1" w:type="dxa"/>
            <w:noWrap w:val="0"/>
            <w:vAlign w:val="center"/>
          </w:tcPr>
          <w:p w14:paraId="1C791873">
            <w:pPr>
              <w:widowControl w:val="0"/>
              <w:jc w:val="center"/>
              <w:rPr>
                <w:rFonts w:hint="eastAsia" w:ascii="宋体" w:hAnsi="宋体" w:eastAsia="宋体" w:cs="宋体"/>
                <w:color w:val="auto"/>
                <w:sz w:val="20"/>
                <w:szCs w:val="20"/>
                <w:vertAlign w:val="baseline"/>
                <w:lang w:eastAsia="zh-CN"/>
              </w:rPr>
            </w:pPr>
            <w:r>
              <w:rPr>
                <w:rFonts w:hint="eastAsia" w:ascii="宋体" w:hAnsi="宋体" w:eastAsia="宋体" w:cs="宋体"/>
                <w:color w:val="auto"/>
                <w:sz w:val="20"/>
                <w:szCs w:val="20"/>
                <w:vertAlign w:val="baseline"/>
                <w:lang w:eastAsia="zh-CN"/>
              </w:rPr>
              <w:t>序号</w:t>
            </w:r>
          </w:p>
        </w:tc>
        <w:tc>
          <w:tcPr>
            <w:tcW w:w="1465" w:type="dxa"/>
            <w:noWrap w:val="0"/>
            <w:vAlign w:val="center"/>
          </w:tcPr>
          <w:p w14:paraId="21AF4791">
            <w:pPr>
              <w:widowControl w:val="0"/>
              <w:jc w:val="center"/>
              <w:rPr>
                <w:rFonts w:hint="eastAsia" w:ascii="宋体" w:hAnsi="宋体" w:eastAsia="宋体" w:cs="宋体"/>
                <w:color w:val="auto"/>
                <w:sz w:val="20"/>
                <w:szCs w:val="20"/>
                <w:vertAlign w:val="baseline"/>
                <w:lang w:eastAsia="zh-CN"/>
              </w:rPr>
            </w:pPr>
            <w:r>
              <w:rPr>
                <w:rFonts w:hint="eastAsia" w:ascii="宋体" w:hAnsi="宋体" w:eastAsia="宋体" w:cs="宋体"/>
                <w:color w:val="auto"/>
                <w:sz w:val="20"/>
                <w:szCs w:val="20"/>
                <w:vertAlign w:val="baseline"/>
                <w:lang w:eastAsia="zh-CN"/>
              </w:rPr>
              <w:t>服务项</w:t>
            </w:r>
          </w:p>
        </w:tc>
        <w:tc>
          <w:tcPr>
            <w:tcW w:w="6356" w:type="dxa"/>
            <w:noWrap w:val="0"/>
            <w:vAlign w:val="center"/>
          </w:tcPr>
          <w:p w14:paraId="4A636FCF">
            <w:pPr>
              <w:widowControl w:val="0"/>
              <w:spacing w:line="240" w:lineRule="auto"/>
              <w:jc w:val="center"/>
              <w:rPr>
                <w:rFonts w:hint="eastAsia" w:ascii="宋体" w:hAnsi="宋体" w:eastAsia="宋体" w:cs="宋体"/>
                <w:color w:val="auto"/>
                <w:sz w:val="20"/>
                <w:szCs w:val="20"/>
                <w:vertAlign w:val="baseline"/>
                <w:lang w:eastAsia="zh-CN"/>
              </w:rPr>
            </w:pPr>
            <w:r>
              <w:rPr>
                <w:rFonts w:hint="eastAsia" w:ascii="宋体" w:hAnsi="宋体" w:eastAsia="宋体" w:cs="宋体"/>
                <w:color w:val="auto"/>
                <w:sz w:val="20"/>
                <w:szCs w:val="20"/>
                <w:vertAlign w:val="baseline"/>
                <w:lang w:eastAsia="zh-CN"/>
              </w:rPr>
              <w:t>服务内容及要求</w:t>
            </w:r>
          </w:p>
        </w:tc>
      </w:tr>
      <w:tr w14:paraId="4ECD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0EA35EA9">
            <w:pPr>
              <w:widowControl w:val="0"/>
              <w:jc w:val="center"/>
              <w:rPr>
                <w:rFonts w:hint="eastAsia" w:ascii="宋体" w:hAnsi="宋体" w:eastAsia="宋体" w:cs="宋体"/>
                <w:b w:val="0"/>
                <w:bCs w:val="0"/>
                <w:color w:val="auto"/>
                <w:sz w:val="20"/>
                <w:szCs w:val="20"/>
                <w:lang w:val="en-US" w:eastAsia="zh-CN"/>
              </w:rPr>
            </w:pPr>
            <w:r>
              <w:rPr>
                <w:rFonts w:hint="eastAsia" w:ascii="宋体" w:hAnsi="宋体" w:eastAsia="宋体" w:cs="宋体"/>
                <w:b w:val="0"/>
                <w:bCs w:val="0"/>
                <w:color w:val="auto"/>
                <w:sz w:val="20"/>
                <w:szCs w:val="20"/>
                <w:vertAlign w:val="baseline"/>
                <w:lang w:val="en-US" w:eastAsia="zh-CN"/>
              </w:rPr>
              <w:t>1</w:t>
            </w:r>
          </w:p>
        </w:tc>
        <w:tc>
          <w:tcPr>
            <w:tcW w:w="1465" w:type="dxa"/>
            <w:noWrap w:val="0"/>
            <w:vAlign w:val="center"/>
          </w:tcPr>
          <w:p w14:paraId="2E116F6D">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网络安全攻击自动化阻断服务</w:t>
            </w:r>
          </w:p>
        </w:tc>
        <w:tc>
          <w:tcPr>
            <w:tcW w:w="6356" w:type="dxa"/>
            <w:noWrap w:val="0"/>
            <w:vAlign w:val="center"/>
          </w:tcPr>
          <w:p w14:paraId="2ED9D92C">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①威胁情报赋能：系统多情报源接入，包含正向攻击、受控外联、IP画像及自定义情报源；正向攻击类情报覆盖金融、电力、能源、党政机关等多个行业；情报源包含不少于3家国内安全厂商，类型含IP、URL、域名及IPv6格式情报。</w:t>
            </w:r>
          </w:p>
          <w:p w14:paraId="3F479D07">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②网络攻击检测阻断：具备不少于40种情报防护类型（含SQL注入、XSS、Webshell等）；支持串联与旁路检测方式、802.1Q网络环境及IPv6检测；支持IP黑白名单精细化配置及旁路自动化阻断。</w:t>
            </w:r>
          </w:p>
          <w:p w14:paraId="45F2A576">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③受控外联检测阻断：基于内到外流量自动化检测，支持APT组织、病毒木马等标签分类分析；检测环境与正向攻击一致，支持旁路自动化阻断恶意外联。</w:t>
            </w:r>
          </w:p>
          <w:p w14:paraId="33C569B9">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④弱口令隐患检测：支持弱口令登录实时监测与阻断，可针对资产设置策略及自定义字典库。</w:t>
            </w:r>
          </w:p>
          <w:p w14:paraId="62DD76A0">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⑤溯源画像分析：支持多情报源基础属性画像（归属地、运营商等）及资产属性画像；提供最近三个月攻击轨迹溯源。</w:t>
            </w:r>
          </w:p>
          <w:p w14:paraId="470A0D7B">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⑥防护联动处置：支持通过Syslog（含加密）共享安全日志，支持通过API接口调用其他安全设备进行阻断。</w:t>
            </w:r>
          </w:p>
          <w:p w14:paraId="10772E7A">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⑦多维度安全事件分析：支持攻击监测与外联检测多维度统计分析，具备详细风险审计与溯源能力。</w:t>
            </w:r>
          </w:p>
          <w:p w14:paraId="364B0CC3">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⑧访问控制：支持IP、URL黑白名单及访问控制策略配置，支持IPv6地址格式。</w:t>
            </w:r>
          </w:p>
          <w:p w14:paraId="28AA3410">
            <w:pPr>
              <w:widowControl w:val="0"/>
              <w:spacing w:line="360" w:lineRule="auto"/>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⑨升级维护：提供威胁情报、检测规则实时更新及系统远程在线升级服务。</w:t>
            </w:r>
          </w:p>
        </w:tc>
      </w:tr>
      <w:tr w14:paraId="1344E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0350AE41">
            <w:pPr>
              <w:widowControl w:val="0"/>
              <w:jc w:val="center"/>
              <w:rPr>
                <w:rFonts w:hint="eastAsia"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2</w:t>
            </w:r>
          </w:p>
        </w:tc>
        <w:tc>
          <w:tcPr>
            <w:tcW w:w="1465" w:type="dxa"/>
            <w:noWrap w:val="0"/>
            <w:vAlign w:val="center"/>
          </w:tcPr>
          <w:p w14:paraId="5BC70F2E">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安全巡查监测服务</w:t>
            </w:r>
          </w:p>
        </w:tc>
        <w:tc>
          <w:tcPr>
            <w:tcW w:w="6356" w:type="dxa"/>
            <w:noWrap w:val="0"/>
            <w:vAlign w:val="center"/>
          </w:tcPr>
          <w:p w14:paraId="7DE3D40D">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针对属地网站列表及页面是否存在敏感词等违规内容进行巡查，可高效性、规范化，实现属地基础信息巡查、违规网站的违法事实预警及证据采集，网站巡查服务可以满足网信办对区内党政机关门户网站、关键信息基础设施网站（B/S架构应用系统）和网站进行的巡查，强化网信行政执法手段和措施。</w:t>
            </w:r>
          </w:p>
          <w:p w14:paraId="34147329">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①巡查内容包括：文本违规监测、图片违规监测、视频违规监测等；</w:t>
            </w:r>
          </w:p>
          <w:p w14:paraId="6AEDF22D">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②违规类型监测：包含涉政治、涉色情、涉博彩、涉暴恐等；</w:t>
            </w:r>
          </w:p>
          <w:p w14:paraId="1473F62F">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③属地网站管理：属地网站信息统计；</w:t>
            </w:r>
          </w:p>
          <w:p w14:paraId="64448883">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④网站备案查询：网站备案信息批量查询；</w:t>
            </w:r>
          </w:p>
          <w:p w14:paraId="7A0D6FA6">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⑤属地账号管理：属地直播账号平台信息统计；</w:t>
            </w:r>
          </w:p>
          <w:p w14:paraId="2D65A9CF">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⑥自动化取证：发现违法违规内容，自动截图、保存源码；</w:t>
            </w:r>
          </w:p>
          <w:p w14:paraId="230F79AD">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⑦应急排查：与网络安全事件或社会热点事件相关联。在紧急情况下，能对属地网站中的相关信息进行快速扫描，确保不遗漏任何可能的风险；</w:t>
            </w:r>
          </w:p>
          <w:p w14:paraId="4E693314">
            <w:pPr>
              <w:pStyle w:val="10"/>
              <w:widowControl w:val="0"/>
              <w:spacing w:line="360" w:lineRule="auto"/>
              <w:ind w:firstLine="367"/>
              <w:jc w:val="left"/>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highlight w:val="none"/>
                <w:lang w:val="en-US" w:eastAsia="en-US"/>
              </w:rPr>
              <w:t>⑧内容巡查监测系统7x24小时不间断巡查监测，能够对违规内容进行自动化证据固定留存</w:t>
            </w:r>
          </w:p>
        </w:tc>
      </w:tr>
      <w:tr w14:paraId="2932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2EEFABA1">
            <w:pPr>
              <w:widowControl w:val="0"/>
              <w:jc w:val="center"/>
              <w:rPr>
                <w:rFonts w:hint="eastAsia"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3</w:t>
            </w:r>
          </w:p>
        </w:tc>
        <w:tc>
          <w:tcPr>
            <w:tcW w:w="1465" w:type="dxa"/>
            <w:noWrap w:val="0"/>
            <w:vAlign w:val="center"/>
          </w:tcPr>
          <w:p w14:paraId="3D6F56D2">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en-US"/>
              </w:rPr>
              <w:t>网络安全检查监管</w:t>
            </w:r>
          </w:p>
        </w:tc>
        <w:tc>
          <w:tcPr>
            <w:tcW w:w="6356" w:type="dxa"/>
            <w:noWrap w:val="0"/>
            <w:vAlign w:val="center"/>
          </w:tcPr>
          <w:p w14:paraId="6A1D0A85">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协助开展信息安全检查，进一步梳理、掌握各重要单位重要网络与信息安全基本情况，查找突出的安全问题和薄弱环节，分析面临的安全威胁和风险，为网络安全检查提供技术支撑，有针对性地采取防范对策和改进措施，加强网络与信息系统安全管理和技术防护，做到及时排查问题和安全隐患及时解决，输出安全检查报告和整改建议，监督安全整改，消除隐患风险。检查内容包括但不限于：</w:t>
            </w:r>
          </w:p>
          <w:p w14:paraId="0BEE1120">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①检查网站页面内容完整、不被篡改；</w:t>
            </w:r>
          </w:p>
          <w:p w14:paraId="1CFB59C2">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en-US"/>
              </w:rPr>
              <w:t>②检查整体网络的 SQL 注入、XSS、非法访问、信息泄露等漏洞，从而提前解决潜在风险；</w:t>
            </w:r>
          </w:p>
          <w:p w14:paraId="16C00FC4">
            <w:pPr>
              <w:pStyle w:val="10"/>
              <w:widowControl w:val="0"/>
              <w:spacing w:line="360" w:lineRule="auto"/>
              <w:ind w:firstLine="367"/>
              <w:jc w:val="left"/>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highlight w:val="none"/>
                <w:lang w:val="en-US" w:eastAsia="en-US"/>
              </w:rPr>
              <w:t>③检查网络安全管理制度是否完善，网络安全资料存储是否完善，提前完善相关责任制度。</w:t>
            </w:r>
          </w:p>
        </w:tc>
      </w:tr>
      <w:tr w14:paraId="448F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37FEB44C">
            <w:pPr>
              <w:widowControl w:val="0"/>
              <w:jc w:val="center"/>
              <w:rPr>
                <w:rFonts w:hint="eastAsia"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4</w:t>
            </w:r>
          </w:p>
        </w:tc>
        <w:tc>
          <w:tcPr>
            <w:tcW w:w="1465" w:type="dxa"/>
            <w:noWrap w:val="0"/>
            <w:vAlign w:val="center"/>
          </w:tcPr>
          <w:p w14:paraId="3E68E485">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en-US"/>
              </w:rPr>
              <w:t>应急演练服务</w:t>
            </w:r>
          </w:p>
        </w:tc>
        <w:tc>
          <w:tcPr>
            <w:tcW w:w="6356" w:type="dxa"/>
            <w:noWrap w:val="0"/>
            <w:vAlign w:val="center"/>
          </w:tcPr>
          <w:p w14:paraId="7130D21D">
            <w:pPr>
              <w:pStyle w:val="10"/>
              <w:widowControl w:val="0"/>
              <w:spacing w:line="360" w:lineRule="auto"/>
              <w:ind w:firstLine="367"/>
              <w:jc w:val="left"/>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en-US"/>
              </w:rPr>
              <w:t>围绕全区开展应急演练1次，对全区网络安全事件的协同处置能力进行提升，采用网络攻击造成信息系统失陷和遭受病毒木马受控外联的安全事件演练，通过全流程的应急演练技术配合工作，提升全区面对突发安全事件的应对能力。</w:t>
            </w:r>
          </w:p>
        </w:tc>
      </w:tr>
      <w:tr w14:paraId="7336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48399206">
            <w:pPr>
              <w:widowControl w:val="0"/>
              <w:jc w:val="center"/>
              <w:rPr>
                <w:rFonts w:hint="eastAsia"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5</w:t>
            </w:r>
          </w:p>
        </w:tc>
        <w:tc>
          <w:tcPr>
            <w:tcW w:w="1465" w:type="dxa"/>
            <w:noWrap w:val="0"/>
            <w:vAlign w:val="center"/>
          </w:tcPr>
          <w:p w14:paraId="76E35818">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vertAlign w:val="baseline"/>
              </w:rPr>
              <w:t>网络安全培训</w:t>
            </w:r>
          </w:p>
        </w:tc>
        <w:tc>
          <w:tcPr>
            <w:tcW w:w="6356" w:type="dxa"/>
            <w:noWrap w:val="0"/>
            <w:vAlign w:val="center"/>
          </w:tcPr>
          <w:p w14:paraId="1D0009A4">
            <w:pPr>
              <w:pStyle w:val="10"/>
              <w:widowControl w:val="0"/>
              <w:spacing w:line="360" w:lineRule="auto"/>
              <w:ind w:firstLine="367"/>
              <w:jc w:val="left"/>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en-US"/>
              </w:rPr>
              <w:t>聘请专业网络安全专家，全年召开不少于2次的全区网络安全培训会议，通过系统的学习和培训，加强区机关对工作人员的管理。达到在提高机关工作人员网络安全意识的同时，也可以提升现有网络安全工作人员的技能。</w:t>
            </w:r>
          </w:p>
        </w:tc>
      </w:tr>
      <w:tr w14:paraId="7F60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701" w:type="dxa"/>
            <w:noWrap w:val="0"/>
            <w:vAlign w:val="center"/>
          </w:tcPr>
          <w:p w14:paraId="57DE1285">
            <w:pPr>
              <w:widowControl w:val="0"/>
              <w:jc w:val="center"/>
              <w:rPr>
                <w:rFonts w:hint="eastAsia"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6</w:t>
            </w:r>
          </w:p>
        </w:tc>
        <w:tc>
          <w:tcPr>
            <w:tcW w:w="1465" w:type="dxa"/>
            <w:noWrap w:val="0"/>
            <w:vAlign w:val="center"/>
          </w:tcPr>
          <w:p w14:paraId="25950834">
            <w:pPr>
              <w:widowControl w:val="0"/>
              <w:jc w:val="center"/>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zh-CN"/>
              </w:rPr>
              <w:t>定点</w:t>
            </w:r>
            <w:r>
              <w:rPr>
                <w:rFonts w:hint="eastAsia" w:ascii="宋体" w:hAnsi="宋体" w:eastAsia="宋体" w:cs="宋体"/>
                <w:b w:val="0"/>
                <w:bCs w:val="0"/>
                <w:color w:val="auto"/>
                <w:sz w:val="20"/>
                <w:szCs w:val="20"/>
                <w:highlight w:val="none"/>
                <w:lang w:val="en-US" w:eastAsia="en-US"/>
              </w:rPr>
              <w:t>服务</w:t>
            </w:r>
          </w:p>
        </w:tc>
        <w:tc>
          <w:tcPr>
            <w:tcW w:w="6356" w:type="dxa"/>
            <w:noWrap w:val="0"/>
            <w:vAlign w:val="center"/>
          </w:tcPr>
          <w:p w14:paraId="426CF423">
            <w:pPr>
              <w:pStyle w:val="10"/>
              <w:widowControl w:val="0"/>
              <w:spacing w:line="360" w:lineRule="auto"/>
              <w:ind w:firstLine="367"/>
              <w:jc w:val="left"/>
              <w:rPr>
                <w:rFonts w:hint="eastAsia" w:ascii="宋体" w:hAnsi="宋体" w:eastAsia="宋体" w:cs="宋体"/>
                <w:b w:val="0"/>
                <w:bCs w:val="0"/>
                <w:color w:val="auto"/>
                <w:sz w:val="20"/>
                <w:szCs w:val="20"/>
                <w:vertAlign w:val="baseline"/>
              </w:rPr>
            </w:pPr>
            <w:r>
              <w:rPr>
                <w:rFonts w:hint="eastAsia" w:ascii="宋体" w:hAnsi="宋体" w:eastAsia="宋体" w:cs="宋体"/>
                <w:b w:val="0"/>
                <w:bCs w:val="0"/>
                <w:color w:val="auto"/>
                <w:sz w:val="20"/>
                <w:szCs w:val="20"/>
                <w:highlight w:val="none"/>
                <w:lang w:val="en-US" w:eastAsia="en-US"/>
              </w:rPr>
              <w:t>提供2名安全技术人员定点办公，协助处理全年与网络安全相关的工作，包括不限于网络安全检查、网络安全风险事件处理，网络安全建设。定点办公的的技术人员能够独立解决最常遇到的网络安全风险事件，能够熟练运用安全服务期间所使用到的各类安全工具，对于安全监测日志中有害的信息能够进行甄别，同时具有良好的文字总结能力，能够按照要求将技术性较强的术语转换成普适性的报告，定点服务的技术人员按照采购人办公要求严格执行。</w:t>
            </w:r>
          </w:p>
        </w:tc>
      </w:tr>
      <w:tr w14:paraId="5639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noWrap w:val="0"/>
            <w:vAlign w:val="center"/>
          </w:tcPr>
          <w:p w14:paraId="1ED21584">
            <w:pPr>
              <w:widowControl w:val="0"/>
              <w:jc w:val="center"/>
              <w:rPr>
                <w:rFonts w:hint="default" w:ascii="宋体" w:hAnsi="宋体" w:eastAsia="宋体" w:cs="宋体"/>
                <w:b w:val="0"/>
                <w:bCs w:val="0"/>
                <w:color w:val="auto"/>
                <w:sz w:val="20"/>
                <w:szCs w:val="20"/>
                <w:vertAlign w:val="baseline"/>
                <w:lang w:val="en-US" w:eastAsia="zh-CN"/>
              </w:rPr>
            </w:pPr>
            <w:r>
              <w:rPr>
                <w:rFonts w:hint="eastAsia" w:ascii="宋体" w:hAnsi="宋体" w:eastAsia="宋体" w:cs="宋体"/>
                <w:b w:val="0"/>
                <w:bCs w:val="0"/>
                <w:color w:val="auto"/>
                <w:sz w:val="20"/>
                <w:szCs w:val="20"/>
                <w:vertAlign w:val="baseline"/>
                <w:lang w:val="en-US" w:eastAsia="zh-CN"/>
              </w:rPr>
              <w:t>7</w:t>
            </w:r>
          </w:p>
        </w:tc>
        <w:tc>
          <w:tcPr>
            <w:tcW w:w="1465" w:type="dxa"/>
            <w:noWrap w:val="0"/>
            <w:vAlign w:val="center"/>
          </w:tcPr>
          <w:p w14:paraId="7B9174D4">
            <w:pPr>
              <w:widowControl w:val="0"/>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技术服务档案</w:t>
            </w:r>
          </w:p>
        </w:tc>
        <w:tc>
          <w:tcPr>
            <w:tcW w:w="6356" w:type="dxa"/>
            <w:noWrap w:val="0"/>
            <w:vAlign w:val="center"/>
          </w:tcPr>
          <w:p w14:paraId="73A45FA8">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①攻击自动化阻断服务：合同签订后</w:t>
            </w:r>
            <w:r>
              <w:rPr>
                <w:rFonts w:hint="eastAsia" w:ascii="宋体" w:hAnsi="宋体" w:eastAsia="宋体" w:cs="宋体"/>
                <w:b w:val="0"/>
                <w:bCs w:val="0"/>
                <w:color w:val="auto"/>
                <w:sz w:val="20"/>
                <w:szCs w:val="20"/>
                <w:highlight w:val="none"/>
                <w:lang w:val="en-US" w:eastAsia="en-US"/>
              </w:rPr>
              <w:t>提供原厂威胁情报联防阻断授权服务</w:t>
            </w:r>
            <w:r>
              <w:rPr>
                <w:rFonts w:hint="eastAsia" w:ascii="宋体" w:hAnsi="宋体" w:eastAsia="宋体" w:cs="宋体"/>
                <w:b w:val="0"/>
                <w:bCs w:val="0"/>
                <w:color w:val="auto"/>
                <w:sz w:val="20"/>
                <w:szCs w:val="20"/>
                <w:highlight w:val="none"/>
                <w:lang w:val="en-US" w:eastAsia="zh-CN"/>
              </w:rPr>
              <w:t>原厂授权证明（1份，服务启动后7个工作日内提交）、运行日志（每月1份，次月5个工作日内提交）、事件分析及阻断报表（每月1份，次月5个工作日内提交），均提供纸质版1份+电子版1份</w:t>
            </w:r>
          </w:p>
          <w:p w14:paraId="4968D4B6">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②安全巡查监测服务：巡查台账（每月1份，次月5个工作日内提交）、违规取证材料（发现违规后24小时内提交）、月度/年度巡查报告（月度次月5个工作日内、年度服务结束后15个工作日内提交），均提供纸质版1份+电子版1份</w:t>
            </w:r>
          </w:p>
          <w:p w14:paraId="521C4289">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③ 网络安全检查监管：检查报告（每次检查结束后10个工作日内提交）、漏洞扫描/渗透测试报告（每季度结束后10个工作日内提交）、整改建议及跟踪台账（检查后10个工作日内提交，整改完成后5个工作日内更新），均提供纸质版1份+电子版1份</w:t>
            </w:r>
          </w:p>
          <w:p w14:paraId="3661D6D5">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④ 应急演练服务：演练方案（演练前15个工作日内提交）、过程记录（演练结束后3个工作日内提交）、《浐灞国际港应急演练测试服务报告》（演练结束后7个工作日内提交），均提供纸质版2份+电子版1份</w:t>
            </w:r>
          </w:p>
          <w:p w14:paraId="4F95624D">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⑤网络安全培训：培训课件（培训前3个工作日内提交）、签到表（培训结束后1个工作日内提交）、培训总结报告（培训结束后3个工作日内提交），均提供纸质版1份+电子版1份</w:t>
            </w:r>
          </w:p>
          <w:p w14:paraId="652DC1BD">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⑥定点服务：工作日志（每月提交）、事件处置记录（处置结束后24小时内提交）、月度/年度总结（月度次月3个工作日内、年度服务结束后15个工作日内提交），均提供纸质版1份+电子版1份</w:t>
            </w:r>
          </w:p>
          <w:p w14:paraId="0F7005EC">
            <w:pPr>
              <w:pStyle w:val="10"/>
              <w:widowControl w:val="0"/>
              <w:spacing w:line="360" w:lineRule="auto"/>
              <w:ind w:firstLine="367"/>
              <w:jc w:val="left"/>
              <w:rPr>
                <w:rFonts w:hint="eastAsia" w:ascii="宋体" w:hAnsi="宋体" w:eastAsia="宋体" w:cs="宋体"/>
                <w:b w:val="0"/>
                <w:bCs w:val="0"/>
                <w:color w:val="auto"/>
                <w:sz w:val="20"/>
                <w:szCs w:val="20"/>
                <w:highlight w:val="none"/>
                <w:lang w:val="en-US" w:eastAsia="en-US"/>
              </w:rPr>
            </w:pPr>
            <w:r>
              <w:rPr>
                <w:rFonts w:hint="eastAsia" w:ascii="宋体" w:hAnsi="宋体" w:eastAsia="宋体" w:cs="宋体"/>
                <w:b w:val="0"/>
                <w:bCs w:val="0"/>
                <w:color w:val="auto"/>
                <w:sz w:val="20"/>
                <w:szCs w:val="20"/>
                <w:highlight w:val="none"/>
                <w:lang w:val="en-US" w:eastAsia="zh-CN"/>
              </w:rPr>
              <w:t>⑦其他要求成果：每季度漏洞扫描/渗透测试报告（每季度结束后10个工作日内提交，每季度不少于1份）、应急响应工单及处置报告（事件处置结束后24小时内提交），均提供纸质版1份+电子版1份，服务结束后完成所有项目内容后，提交调查分析报告</w:t>
            </w:r>
            <w:r>
              <w:rPr>
                <w:rFonts w:hint="eastAsia" w:ascii="宋体" w:hAnsi="宋体" w:cs="宋体"/>
                <w:b w:val="0"/>
                <w:bCs w:val="0"/>
                <w:color w:val="auto"/>
                <w:sz w:val="20"/>
                <w:szCs w:val="20"/>
                <w:highlight w:val="none"/>
                <w:lang w:val="en-US" w:eastAsia="zh-CN"/>
              </w:rPr>
              <w:t>。</w:t>
            </w:r>
          </w:p>
        </w:tc>
      </w:tr>
    </w:tbl>
    <w:p w14:paraId="29AA44F3"/>
    <w:p w14:paraId="273028E6">
      <w:pPr>
        <w:pStyle w:val="2"/>
      </w:pPr>
    </w:p>
    <w:p w14:paraId="7365E66F"/>
    <w:p w14:paraId="59A3FCF6">
      <w:pPr>
        <w:pStyle w:val="2"/>
      </w:pPr>
    </w:p>
    <w:p w14:paraId="37988F3D"/>
    <w:p w14:paraId="3CD35716">
      <w:pPr>
        <w:pStyle w:val="2"/>
      </w:pPr>
    </w:p>
    <w:p w14:paraId="5A4F57B6"/>
    <w:p w14:paraId="1B936715">
      <w:pPr>
        <w:pStyle w:val="2"/>
      </w:pPr>
    </w:p>
    <w:p w14:paraId="3A2912E7"/>
    <w:p w14:paraId="2D349A3A">
      <w:pPr>
        <w:pStyle w:val="2"/>
      </w:pPr>
    </w:p>
    <w:p w14:paraId="48E99A1F"/>
    <w:p w14:paraId="0E13D252">
      <w:pPr>
        <w:pStyle w:val="2"/>
      </w:pPr>
    </w:p>
    <w:p w14:paraId="4DE687C8"/>
    <w:p w14:paraId="715E4728">
      <w:pPr>
        <w:pStyle w:val="2"/>
      </w:pPr>
    </w:p>
    <w:p w14:paraId="5DFD5CA6"/>
    <w:p w14:paraId="093BE92F">
      <w:pPr>
        <w:pStyle w:val="2"/>
      </w:pPr>
    </w:p>
    <w:p w14:paraId="6A877EF3"/>
    <w:p w14:paraId="66DD52B1">
      <w:r>
        <w:br w:type="page"/>
      </w:r>
    </w:p>
    <w:p w14:paraId="46EE1D40">
      <w:pPr>
        <w:pStyle w:val="11"/>
        <w:rPr>
          <w:rFonts w:hint="eastAsia"/>
          <w:lang w:val="en-US" w:eastAsia="zh-CN"/>
        </w:rPr>
      </w:pPr>
      <w:r>
        <w:rPr>
          <w:rFonts w:hint="eastAsia" w:ascii="仿宋" w:hAnsi="仿宋" w:eastAsia="仿宋" w:cs="仿宋"/>
          <w:b/>
          <w:bCs/>
          <w:color w:val="auto"/>
          <w:spacing w:val="-10"/>
          <w:sz w:val="30"/>
          <w:lang w:val="en-US" w:eastAsia="zh-CN"/>
        </w:rPr>
        <w:t>附件二：</w:t>
      </w:r>
    </w:p>
    <w:p w14:paraId="3B5F38AA">
      <w:pPr>
        <w:jc w:val="center"/>
        <w:rPr>
          <w:rFonts w:hint="default"/>
          <w:b/>
          <w:bCs/>
          <w:sz w:val="32"/>
          <w:szCs w:val="28"/>
          <w:lang w:val="en-US" w:eastAsia="zh-CN"/>
        </w:rPr>
      </w:pPr>
      <w:r>
        <w:rPr>
          <w:rFonts w:hint="eastAsia"/>
          <w:b/>
          <w:bCs/>
          <w:sz w:val="32"/>
          <w:szCs w:val="28"/>
          <w:lang w:val="en-US" w:eastAsia="zh-CN"/>
        </w:rPr>
        <w:t>分项报价表</w:t>
      </w:r>
    </w:p>
    <w:tbl>
      <w:tblPr>
        <w:tblStyle w:val="7"/>
        <w:tblpPr w:leftFromText="180" w:rightFromText="180" w:vertAnchor="text" w:horzAnchor="page" w:tblpX="1187" w:tblpY="293"/>
        <w:tblOverlap w:val="never"/>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996"/>
        <w:gridCol w:w="4403"/>
        <w:gridCol w:w="1290"/>
        <w:gridCol w:w="714"/>
      </w:tblGrid>
      <w:tr w14:paraId="73C9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660" w:type="dxa"/>
            <w:noWrap w:val="0"/>
            <w:vAlign w:val="center"/>
          </w:tcPr>
          <w:p w14:paraId="75CB8931">
            <w:pPr>
              <w:spacing w:line="44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序号</w:t>
            </w:r>
          </w:p>
        </w:tc>
        <w:tc>
          <w:tcPr>
            <w:tcW w:w="2996" w:type="dxa"/>
            <w:noWrap w:val="0"/>
            <w:vAlign w:val="center"/>
          </w:tcPr>
          <w:p w14:paraId="58A74A3F">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项目</w:t>
            </w:r>
          </w:p>
        </w:tc>
        <w:tc>
          <w:tcPr>
            <w:tcW w:w="4403" w:type="dxa"/>
            <w:noWrap w:val="0"/>
            <w:vAlign w:val="center"/>
          </w:tcPr>
          <w:p w14:paraId="01FED587">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内容</w:t>
            </w:r>
          </w:p>
        </w:tc>
        <w:tc>
          <w:tcPr>
            <w:tcW w:w="1290" w:type="dxa"/>
            <w:noWrap w:val="0"/>
            <w:vAlign w:val="center"/>
          </w:tcPr>
          <w:p w14:paraId="7E32B6EB">
            <w:pPr>
              <w:spacing w:line="44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单价（元）</w:t>
            </w:r>
          </w:p>
        </w:tc>
        <w:tc>
          <w:tcPr>
            <w:tcW w:w="714" w:type="dxa"/>
            <w:noWrap w:val="0"/>
            <w:vAlign w:val="center"/>
          </w:tcPr>
          <w:p w14:paraId="70D78915">
            <w:pPr>
              <w:spacing w:line="44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备注</w:t>
            </w:r>
          </w:p>
        </w:tc>
      </w:tr>
      <w:tr w14:paraId="77CB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exact"/>
        </w:trPr>
        <w:tc>
          <w:tcPr>
            <w:tcW w:w="660" w:type="dxa"/>
            <w:noWrap w:val="0"/>
            <w:vAlign w:val="center"/>
          </w:tcPr>
          <w:p w14:paraId="1CC0B8C8">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2996" w:type="dxa"/>
            <w:noWrap w:val="0"/>
            <w:vAlign w:val="center"/>
          </w:tcPr>
          <w:p w14:paraId="2F812E35">
            <w:pPr>
              <w:pStyle w:val="4"/>
              <w:spacing w:line="360" w:lineRule="auto"/>
              <w:ind w:left="0" w:lef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b w:val="0"/>
                <w:bCs/>
                <w:color w:val="auto"/>
                <w:sz w:val="20"/>
                <w:szCs w:val="20"/>
                <w:highlight w:val="none"/>
                <w:lang w:eastAsia="zh-CN"/>
              </w:rPr>
              <w:t>网络安全攻击自动化阻断服务相关费用</w:t>
            </w:r>
          </w:p>
        </w:tc>
        <w:tc>
          <w:tcPr>
            <w:tcW w:w="4403" w:type="dxa"/>
            <w:noWrap w:val="0"/>
            <w:vAlign w:val="center"/>
          </w:tcPr>
          <w:p w14:paraId="5BED5F1C">
            <w:pPr>
              <w:spacing w:line="440" w:lineRule="exact"/>
              <w:jc w:val="both"/>
              <w:rPr>
                <w:rFonts w:hint="eastAsia" w:ascii="宋体" w:hAnsi="宋体" w:eastAsia="宋体" w:cs="宋体"/>
                <w:color w:val="auto"/>
                <w:sz w:val="20"/>
                <w:szCs w:val="20"/>
                <w:highlight w:val="none"/>
                <w:lang w:val="en-US" w:eastAsia="zh-CN"/>
              </w:rPr>
            </w:pPr>
          </w:p>
        </w:tc>
        <w:tc>
          <w:tcPr>
            <w:tcW w:w="1290" w:type="dxa"/>
            <w:noWrap w:val="0"/>
            <w:vAlign w:val="center"/>
          </w:tcPr>
          <w:p w14:paraId="11D986B7">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13410DA5">
            <w:pPr>
              <w:spacing w:line="440" w:lineRule="exact"/>
              <w:jc w:val="center"/>
              <w:rPr>
                <w:rFonts w:hint="eastAsia" w:ascii="宋体" w:hAnsi="宋体" w:eastAsia="宋体" w:cs="宋体"/>
                <w:color w:val="auto"/>
                <w:sz w:val="20"/>
                <w:szCs w:val="20"/>
                <w:highlight w:val="none"/>
              </w:rPr>
            </w:pPr>
          </w:p>
        </w:tc>
      </w:tr>
      <w:tr w14:paraId="403D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exact"/>
        </w:trPr>
        <w:tc>
          <w:tcPr>
            <w:tcW w:w="660" w:type="dxa"/>
            <w:noWrap w:val="0"/>
            <w:vAlign w:val="center"/>
          </w:tcPr>
          <w:p w14:paraId="31C87C5B">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2996" w:type="dxa"/>
            <w:noWrap w:val="0"/>
            <w:vAlign w:val="center"/>
          </w:tcPr>
          <w:p w14:paraId="2EC3F52B">
            <w:pPr>
              <w:pStyle w:val="4"/>
              <w:spacing w:line="360" w:lineRule="auto"/>
              <w:ind w:left="0" w:leftChars="0"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安全巡查监测服务相关费用</w:t>
            </w:r>
          </w:p>
        </w:tc>
        <w:tc>
          <w:tcPr>
            <w:tcW w:w="4403" w:type="dxa"/>
            <w:noWrap w:val="0"/>
            <w:vAlign w:val="center"/>
          </w:tcPr>
          <w:p w14:paraId="306BE51C">
            <w:pPr>
              <w:spacing w:line="440" w:lineRule="exact"/>
              <w:jc w:val="both"/>
              <w:rPr>
                <w:rFonts w:hint="eastAsia" w:ascii="宋体" w:hAnsi="宋体" w:eastAsia="宋体" w:cs="宋体"/>
                <w:color w:val="auto"/>
                <w:sz w:val="20"/>
                <w:szCs w:val="20"/>
                <w:highlight w:val="none"/>
                <w:lang w:eastAsia="zh-CN"/>
              </w:rPr>
            </w:pPr>
          </w:p>
        </w:tc>
        <w:tc>
          <w:tcPr>
            <w:tcW w:w="1290" w:type="dxa"/>
            <w:noWrap w:val="0"/>
            <w:vAlign w:val="center"/>
          </w:tcPr>
          <w:p w14:paraId="12260D90">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34C8F1BC">
            <w:pPr>
              <w:spacing w:line="440" w:lineRule="exact"/>
              <w:jc w:val="center"/>
              <w:rPr>
                <w:rFonts w:hint="eastAsia" w:ascii="宋体" w:hAnsi="宋体" w:eastAsia="宋体" w:cs="宋体"/>
                <w:color w:val="auto"/>
                <w:sz w:val="20"/>
                <w:szCs w:val="20"/>
                <w:highlight w:val="none"/>
              </w:rPr>
            </w:pPr>
          </w:p>
        </w:tc>
      </w:tr>
      <w:tr w14:paraId="241A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exact"/>
        </w:trPr>
        <w:tc>
          <w:tcPr>
            <w:tcW w:w="660" w:type="dxa"/>
            <w:noWrap w:val="0"/>
            <w:vAlign w:val="center"/>
          </w:tcPr>
          <w:p w14:paraId="3A3B1BC2">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w:t>
            </w:r>
          </w:p>
        </w:tc>
        <w:tc>
          <w:tcPr>
            <w:tcW w:w="2996" w:type="dxa"/>
            <w:noWrap w:val="0"/>
            <w:vAlign w:val="center"/>
          </w:tcPr>
          <w:p w14:paraId="623AEECC">
            <w:pPr>
              <w:pStyle w:val="4"/>
              <w:spacing w:line="360" w:lineRule="auto"/>
              <w:ind w:left="0" w:leftChars="0" w:firstLine="0" w:firstLineChars="0"/>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b w:val="0"/>
                <w:bCs/>
                <w:color w:val="auto"/>
                <w:sz w:val="20"/>
                <w:szCs w:val="20"/>
                <w:highlight w:val="none"/>
                <w:lang w:eastAsia="zh-CN"/>
              </w:rPr>
              <w:t>网络安全检查监管相关费用</w:t>
            </w:r>
          </w:p>
        </w:tc>
        <w:tc>
          <w:tcPr>
            <w:tcW w:w="4403" w:type="dxa"/>
            <w:noWrap w:val="0"/>
            <w:vAlign w:val="center"/>
          </w:tcPr>
          <w:p w14:paraId="689499A1">
            <w:pPr>
              <w:spacing w:line="440" w:lineRule="exact"/>
              <w:jc w:val="both"/>
              <w:rPr>
                <w:rFonts w:hint="eastAsia" w:ascii="宋体" w:hAnsi="宋体" w:eastAsia="宋体" w:cs="宋体"/>
                <w:color w:val="auto"/>
                <w:kern w:val="2"/>
                <w:sz w:val="20"/>
                <w:szCs w:val="20"/>
                <w:highlight w:val="none"/>
                <w:lang w:val="en-US" w:eastAsia="zh-CN" w:bidi="ar-SA"/>
              </w:rPr>
            </w:pPr>
          </w:p>
        </w:tc>
        <w:tc>
          <w:tcPr>
            <w:tcW w:w="1290" w:type="dxa"/>
            <w:noWrap w:val="0"/>
            <w:vAlign w:val="center"/>
          </w:tcPr>
          <w:p w14:paraId="54930288">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04593885">
            <w:pPr>
              <w:spacing w:line="440" w:lineRule="exact"/>
              <w:jc w:val="center"/>
              <w:rPr>
                <w:rFonts w:hint="eastAsia" w:ascii="宋体" w:hAnsi="宋体" w:eastAsia="宋体" w:cs="宋体"/>
                <w:color w:val="auto"/>
                <w:sz w:val="20"/>
                <w:szCs w:val="20"/>
                <w:highlight w:val="none"/>
              </w:rPr>
            </w:pPr>
          </w:p>
        </w:tc>
      </w:tr>
      <w:tr w14:paraId="4EC8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trPr>
        <w:tc>
          <w:tcPr>
            <w:tcW w:w="660" w:type="dxa"/>
            <w:noWrap w:val="0"/>
            <w:vAlign w:val="center"/>
          </w:tcPr>
          <w:p w14:paraId="721AA264">
            <w:pPr>
              <w:spacing w:line="440" w:lineRule="exact"/>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sz w:val="20"/>
                <w:szCs w:val="20"/>
                <w:lang w:val="en-US" w:eastAsia="zh-CN"/>
              </w:rPr>
              <w:t>4</w:t>
            </w:r>
          </w:p>
        </w:tc>
        <w:tc>
          <w:tcPr>
            <w:tcW w:w="2996" w:type="dxa"/>
            <w:noWrap w:val="0"/>
            <w:vAlign w:val="center"/>
          </w:tcPr>
          <w:p w14:paraId="219F71BA">
            <w:pPr>
              <w:pStyle w:val="4"/>
              <w:spacing w:line="360" w:lineRule="auto"/>
              <w:ind w:left="0" w:leftChars="0" w:firstLine="0" w:firstLineChars="0"/>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b w:val="0"/>
                <w:bCs/>
                <w:color w:val="auto"/>
                <w:sz w:val="20"/>
                <w:szCs w:val="20"/>
                <w:highlight w:val="none"/>
                <w:lang w:eastAsia="zh-CN"/>
              </w:rPr>
              <w:t>应急演练服务相关费用</w:t>
            </w:r>
          </w:p>
        </w:tc>
        <w:tc>
          <w:tcPr>
            <w:tcW w:w="4403" w:type="dxa"/>
            <w:noWrap w:val="0"/>
            <w:vAlign w:val="center"/>
          </w:tcPr>
          <w:p w14:paraId="1C88BF6E">
            <w:pPr>
              <w:spacing w:line="440" w:lineRule="exact"/>
              <w:jc w:val="both"/>
              <w:rPr>
                <w:rFonts w:hint="eastAsia" w:ascii="宋体" w:hAnsi="宋体" w:eastAsia="宋体" w:cs="宋体"/>
                <w:color w:val="auto"/>
                <w:kern w:val="2"/>
                <w:sz w:val="20"/>
                <w:szCs w:val="20"/>
                <w:highlight w:val="none"/>
                <w:lang w:val="en-US" w:eastAsia="zh-CN" w:bidi="ar-SA"/>
              </w:rPr>
            </w:pPr>
          </w:p>
        </w:tc>
        <w:tc>
          <w:tcPr>
            <w:tcW w:w="1290" w:type="dxa"/>
            <w:noWrap w:val="0"/>
            <w:vAlign w:val="center"/>
          </w:tcPr>
          <w:p w14:paraId="7B3CC113">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33AC0160">
            <w:pPr>
              <w:spacing w:line="440" w:lineRule="exact"/>
              <w:jc w:val="center"/>
              <w:rPr>
                <w:rFonts w:hint="eastAsia" w:ascii="宋体" w:hAnsi="宋体" w:eastAsia="宋体" w:cs="宋体"/>
                <w:color w:val="auto"/>
                <w:sz w:val="20"/>
                <w:szCs w:val="20"/>
                <w:highlight w:val="none"/>
              </w:rPr>
            </w:pPr>
          </w:p>
        </w:tc>
      </w:tr>
      <w:tr w14:paraId="7232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exact"/>
        </w:trPr>
        <w:tc>
          <w:tcPr>
            <w:tcW w:w="660" w:type="dxa"/>
            <w:noWrap w:val="0"/>
            <w:vAlign w:val="center"/>
          </w:tcPr>
          <w:p w14:paraId="50A01006">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w:t>
            </w:r>
          </w:p>
        </w:tc>
        <w:tc>
          <w:tcPr>
            <w:tcW w:w="2996" w:type="dxa"/>
            <w:noWrap w:val="0"/>
            <w:vAlign w:val="center"/>
          </w:tcPr>
          <w:p w14:paraId="601D029F">
            <w:pPr>
              <w:pStyle w:val="4"/>
              <w:spacing w:line="360" w:lineRule="auto"/>
              <w:ind w:left="0" w:leftChars="0" w:firstLine="0" w:firstLineChars="0"/>
              <w:jc w:val="center"/>
              <w:rPr>
                <w:rFonts w:hint="eastAsia" w:ascii="宋体" w:hAnsi="宋体" w:eastAsia="宋体" w:cs="宋体"/>
                <w:color w:val="auto"/>
                <w:sz w:val="20"/>
                <w:szCs w:val="20"/>
                <w:highlight w:val="none"/>
                <w:lang w:eastAsia="zh-CN"/>
              </w:rPr>
            </w:pPr>
            <w:r>
              <w:rPr>
                <w:rFonts w:hint="eastAsia" w:ascii="宋体" w:hAnsi="宋体" w:eastAsia="宋体" w:cs="宋体"/>
                <w:b w:val="0"/>
                <w:bCs/>
                <w:color w:val="auto"/>
                <w:sz w:val="20"/>
                <w:szCs w:val="20"/>
                <w:highlight w:val="none"/>
                <w:lang w:val="en-US" w:eastAsia="zh-CN"/>
              </w:rPr>
              <w:t>网络安全培训相关费用</w:t>
            </w:r>
          </w:p>
        </w:tc>
        <w:tc>
          <w:tcPr>
            <w:tcW w:w="4403" w:type="dxa"/>
            <w:noWrap w:val="0"/>
            <w:vAlign w:val="center"/>
          </w:tcPr>
          <w:p w14:paraId="5A8088AC">
            <w:pPr>
              <w:spacing w:line="440" w:lineRule="exact"/>
              <w:jc w:val="both"/>
              <w:rPr>
                <w:rFonts w:hint="eastAsia" w:ascii="宋体" w:hAnsi="宋体" w:eastAsia="宋体" w:cs="宋体"/>
                <w:color w:val="auto"/>
                <w:sz w:val="20"/>
                <w:szCs w:val="20"/>
                <w:highlight w:val="none"/>
              </w:rPr>
            </w:pPr>
          </w:p>
        </w:tc>
        <w:tc>
          <w:tcPr>
            <w:tcW w:w="1290" w:type="dxa"/>
            <w:noWrap w:val="0"/>
            <w:vAlign w:val="center"/>
          </w:tcPr>
          <w:p w14:paraId="22DFA897">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3AE49ECC">
            <w:pPr>
              <w:spacing w:line="440" w:lineRule="exact"/>
              <w:jc w:val="center"/>
              <w:rPr>
                <w:rFonts w:hint="eastAsia" w:ascii="宋体" w:hAnsi="宋体" w:eastAsia="宋体" w:cs="宋体"/>
                <w:color w:val="auto"/>
                <w:sz w:val="20"/>
                <w:szCs w:val="20"/>
                <w:highlight w:val="none"/>
                <w:lang w:val="en-US" w:eastAsia="zh-CN"/>
              </w:rPr>
            </w:pPr>
          </w:p>
        </w:tc>
      </w:tr>
      <w:tr w14:paraId="4B13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660" w:type="dxa"/>
            <w:noWrap w:val="0"/>
            <w:vAlign w:val="center"/>
          </w:tcPr>
          <w:p w14:paraId="001413DB">
            <w:pPr>
              <w:spacing w:line="440" w:lineRule="exact"/>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w:t>
            </w:r>
          </w:p>
        </w:tc>
        <w:tc>
          <w:tcPr>
            <w:tcW w:w="2996" w:type="dxa"/>
            <w:noWrap w:val="0"/>
            <w:vAlign w:val="center"/>
          </w:tcPr>
          <w:p w14:paraId="5DD9447F">
            <w:pPr>
              <w:pStyle w:val="4"/>
              <w:spacing w:line="360" w:lineRule="auto"/>
              <w:ind w:left="0" w:leftChars="0" w:firstLine="0" w:firstLineChars="0"/>
              <w:jc w:val="center"/>
              <w:rPr>
                <w:rFonts w:hint="eastAsia" w:ascii="宋体" w:hAnsi="宋体" w:eastAsia="宋体" w:cs="宋体"/>
                <w:color w:val="auto"/>
                <w:sz w:val="20"/>
                <w:szCs w:val="20"/>
                <w:highlight w:val="none"/>
                <w:lang w:eastAsia="zh-CN"/>
              </w:rPr>
            </w:pPr>
            <w:r>
              <w:rPr>
                <w:rFonts w:hint="eastAsia" w:ascii="宋体" w:hAnsi="宋体" w:eastAsia="宋体" w:cs="宋体"/>
                <w:b w:val="0"/>
                <w:bCs/>
                <w:color w:val="auto"/>
                <w:sz w:val="20"/>
                <w:szCs w:val="20"/>
                <w:highlight w:val="none"/>
                <w:lang w:val="en-US" w:eastAsia="zh-CN"/>
              </w:rPr>
              <w:t>定点服务相关费用</w:t>
            </w:r>
          </w:p>
        </w:tc>
        <w:tc>
          <w:tcPr>
            <w:tcW w:w="4403" w:type="dxa"/>
            <w:noWrap w:val="0"/>
            <w:vAlign w:val="center"/>
          </w:tcPr>
          <w:p w14:paraId="55129383">
            <w:pPr>
              <w:spacing w:line="440" w:lineRule="exact"/>
              <w:jc w:val="both"/>
              <w:rPr>
                <w:rFonts w:hint="eastAsia" w:ascii="宋体" w:hAnsi="宋体" w:eastAsia="宋体" w:cs="宋体"/>
                <w:color w:val="auto"/>
                <w:sz w:val="20"/>
                <w:szCs w:val="20"/>
                <w:highlight w:val="none"/>
              </w:rPr>
            </w:pPr>
          </w:p>
        </w:tc>
        <w:tc>
          <w:tcPr>
            <w:tcW w:w="1290" w:type="dxa"/>
            <w:noWrap w:val="0"/>
            <w:vAlign w:val="center"/>
          </w:tcPr>
          <w:p w14:paraId="18F75B3E">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21E18223">
            <w:pPr>
              <w:spacing w:line="440" w:lineRule="exact"/>
              <w:jc w:val="center"/>
              <w:rPr>
                <w:rFonts w:hint="eastAsia" w:ascii="宋体" w:hAnsi="宋体" w:eastAsia="宋体" w:cs="宋体"/>
                <w:color w:val="auto"/>
                <w:sz w:val="20"/>
                <w:szCs w:val="20"/>
                <w:highlight w:val="none"/>
              </w:rPr>
            </w:pPr>
          </w:p>
        </w:tc>
      </w:tr>
      <w:tr w14:paraId="7837B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exact"/>
        </w:trPr>
        <w:tc>
          <w:tcPr>
            <w:tcW w:w="660" w:type="dxa"/>
            <w:noWrap w:val="0"/>
            <w:vAlign w:val="center"/>
          </w:tcPr>
          <w:p w14:paraId="2882326E">
            <w:pPr>
              <w:spacing w:line="440" w:lineRule="exact"/>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w:t>
            </w:r>
          </w:p>
        </w:tc>
        <w:tc>
          <w:tcPr>
            <w:tcW w:w="2996" w:type="dxa"/>
            <w:noWrap w:val="0"/>
            <w:vAlign w:val="center"/>
          </w:tcPr>
          <w:p w14:paraId="650F4131">
            <w:pPr>
              <w:pStyle w:val="4"/>
              <w:spacing w:line="360" w:lineRule="auto"/>
              <w:ind w:left="0" w:leftChars="0" w:firstLine="0" w:firstLineChars="0"/>
              <w:jc w:val="center"/>
              <w:rPr>
                <w:rFonts w:hint="default" w:ascii="宋体" w:hAnsi="宋体" w:eastAsia="宋体" w:cs="宋体"/>
                <w:b w:val="0"/>
                <w:bCs/>
                <w:color w:val="auto"/>
                <w:sz w:val="20"/>
                <w:szCs w:val="20"/>
                <w:highlight w:val="none"/>
                <w:lang w:val="en-US" w:eastAsia="zh-CN"/>
              </w:rPr>
            </w:pPr>
            <w:r>
              <w:rPr>
                <w:rFonts w:hint="default" w:ascii="宋体" w:hAnsi="宋体" w:eastAsia="宋体" w:cs="宋体"/>
                <w:b w:val="0"/>
                <w:bCs/>
                <w:color w:val="auto"/>
                <w:sz w:val="20"/>
                <w:szCs w:val="20"/>
                <w:highlight w:val="none"/>
                <w:lang w:val="en-US" w:eastAsia="zh-CN"/>
              </w:rPr>
              <w:t>技术服务档案</w:t>
            </w:r>
          </w:p>
        </w:tc>
        <w:tc>
          <w:tcPr>
            <w:tcW w:w="4403" w:type="dxa"/>
            <w:noWrap w:val="0"/>
            <w:vAlign w:val="center"/>
          </w:tcPr>
          <w:p w14:paraId="453E4765">
            <w:pPr>
              <w:spacing w:line="440" w:lineRule="exact"/>
              <w:jc w:val="both"/>
              <w:rPr>
                <w:rFonts w:hint="eastAsia" w:ascii="宋体" w:hAnsi="宋体" w:eastAsia="宋体" w:cs="宋体"/>
                <w:color w:val="auto"/>
                <w:sz w:val="20"/>
                <w:szCs w:val="20"/>
                <w:highlight w:val="none"/>
              </w:rPr>
            </w:pPr>
          </w:p>
        </w:tc>
        <w:tc>
          <w:tcPr>
            <w:tcW w:w="1290" w:type="dxa"/>
            <w:noWrap w:val="0"/>
            <w:vAlign w:val="center"/>
          </w:tcPr>
          <w:p w14:paraId="6F4C9BD0">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67C0BF1B">
            <w:pPr>
              <w:spacing w:line="440" w:lineRule="exact"/>
              <w:jc w:val="center"/>
              <w:rPr>
                <w:rFonts w:hint="eastAsia" w:ascii="宋体" w:hAnsi="宋体" w:eastAsia="宋体" w:cs="宋体"/>
                <w:color w:val="auto"/>
                <w:sz w:val="20"/>
                <w:szCs w:val="20"/>
                <w:highlight w:val="none"/>
              </w:rPr>
            </w:pPr>
          </w:p>
        </w:tc>
      </w:tr>
      <w:tr w14:paraId="02C7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exact"/>
        </w:trPr>
        <w:tc>
          <w:tcPr>
            <w:tcW w:w="660" w:type="dxa"/>
            <w:noWrap w:val="0"/>
            <w:vAlign w:val="center"/>
          </w:tcPr>
          <w:p w14:paraId="14D03F44">
            <w:pPr>
              <w:spacing w:line="440" w:lineRule="exact"/>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w:t>
            </w:r>
          </w:p>
        </w:tc>
        <w:tc>
          <w:tcPr>
            <w:tcW w:w="2996" w:type="dxa"/>
            <w:noWrap w:val="0"/>
            <w:vAlign w:val="center"/>
          </w:tcPr>
          <w:p w14:paraId="292508F3">
            <w:pPr>
              <w:pStyle w:val="4"/>
              <w:spacing w:line="360" w:lineRule="auto"/>
              <w:ind w:left="0" w:leftChars="0" w:firstLine="0" w:firstLineChars="0"/>
              <w:jc w:val="center"/>
              <w:rPr>
                <w:rFonts w:hint="default" w:ascii="宋体" w:hAnsi="宋体" w:eastAsia="宋体" w:cs="宋体"/>
                <w:b w:val="0"/>
                <w:bCs/>
                <w:color w:val="auto"/>
                <w:sz w:val="20"/>
                <w:szCs w:val="20"/>
                <w:highlight w:val="none"/>
                <w:lang w:val="en-US" w:eastAsia="zh-CN"/>
              </w:rPr>
            </w:pPr>
          </w:p>
        </w:tc>
        <w:tc>
          <w:tcPr>
            <w:tcW w:w="4403" w:type="dxa"/>
            <w:noWrap w:val="0"/>
            <w:vAlign w:val="center"/>
          </w:tcPr>
          <w:p w14:paraId="2D4EF0DB">
            <w:pPr>
              <w:spacing w:line="440" w:lineRule="exact"/>
              <w:jc w:val="both"/>
              <w:rPr>
                <w:rFonts w:hint="eastAsia" w:ascii="宋体" w:hAnsi="宋体" w:eastAsia="宋体" w:cs="宋体"/>
                <w:color w:val="auto"/>
                <w:sz w:val="20"/>
                <w:szCs w:val="20"/>
                <w:highlight w:val="none"/>
              </w:rPr>
            </w:pPr>
          </w:p>
        </w:tc>
        <w:tc>
          <w:tcPr>
            <w:tcW w:w="1290" w:type="dxa"/>
            <w:noWrap w:val="0"/>
            <w:vAlign w:val="center"/>
          </w:tcPr>
          <w:p w14:paraId="52B53C42">
            <w:pPr>
              <w:spacing w:line="440" w:lineRule="exact"/>
              <w:jc w:val="center"/>
              <w:rPr>
                <w:rFonts w:hint="eastAsia" w:ascii="宋体" w:hAnsi="宋体" w:eastAsia="宋体" w:cs="宋体"/>
                <w:color w:val="auto"/>
                <w:sz w:val="20"/>
                <w:szCs w:val="20"/>
                <w:highlight w:val="none"/>
                <w:lang w:val="en-US" w:eastAsia="zh-CN"/>
              </w:rPr>
            </w:pPr>
          </w:p>
        </w:tc>
        <w:tc>
          <w:tcPr>
            <w:tcW w:w="714" w:type="dxa"/>
            <w:noWrap w:val="0"/>
            <w:vAlign w:val="center"/>
          </w:tcPr>
          <w:p w14:paraId="42535DAE">
            <w:pPr>
              <w:spacing w:line="440" w:lineRule="exact"/>
              <w:jc w:val="center"/>
              <w:rPr>
                <w:rFonts w:hint="eastAsia" w:ascii="宋体" w:hAnsi="宋体" w:eastAsia="宋体" w:cs="宋体"/>
                <w:color w:val="auto"/>
                <w:sz w:val="20"/>
                <w:szCs w:val="20"/>
                <w:highlight w:val="none"/>
              </w:rPr>
            </w:pPr>
          </w:p>
        </w:tc>
      </w:tr>
      <w:tr w14:paraId="274B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8059" w:type="dxa"/>
            <w:gridSpan w:val="3"/>
            <w:noWrap w:val="0"/>
            <w:vAlign w:val="center"/>
          </w:tcPr>
          <w:p w14:paraId="32BF66C0">
            <w:pPr>
              <w:spacing w:line="440" w:lineRule="exact"/>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总计</w:t>
            </w:r>
          </w:p>
        </w:tc>
        <w:tc>
          <w:tcPr>
            <w:tcW w:w="2004" w:type="dxa"/>
            <w:gridSpan w:val="2"/>
            <w:noWrap w:val="0"/>
            <w:vAlign w:val="center"/>
          </w:tcPr>
          <w:p w14:paraId="0A972F83">
            <w:pPr>
              <w:spacing w:line="440" w:lineRule="exact"/>
              <w:jc w:val="center"/>
              <w:rPr>
                <w:rFonts w:hint="eastAsia" w:ascii="宋体" w:hAnsi="宋体" w:eastAsia="宋体" w:cs="宋体"/>
                <w:color w:val="auto"/>
                <w:sz w:val="20"/>
                <w:szCs w:val="20"/>
                <w:highlight w:val="none"/>
              </w:rPr>
            </w:pPr>
          </w:p>
        </w:tc>
      </w:tr>
    </w:tbl>
    <w:p w14:paraId="67977617">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B4F91"/>
    <w:rsid w:val="48E51E1E"/>
    <w:rsid w:val="7491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6" w:lineRule="auto"/>
      <w:jc w:val="center"/>
      <w:outlineLvl w:val="0"/>
    </w:pPr>
    <w:rPr>
      <w:rFonts w:ascii="Times New Roman" w:hAnsi="Times New Roman" w:eastAsia="黑体"/>
      <w:kern w:val="44"/>
      <w:sz w:val="44"/>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Normal Indent"/>
    <w:basedOn w:val="1"/>
    <w:next w:val="1"/>
    <w:qFormat/>
    <w:uiPriority w:val="0"/>
    <w:pPr>
      <w:ind w:firstLine="420" w:firstLineChars="200"/>
    </w:pPr>
  </w:style>
  <w:style w:type="paragraph" w:styleId="5">
    <w:name w:val="Body Text 2"/>
    <w:basedOn w:val="1"/>
    <w:qFormat/>
    <w:uiPriority w:val="0"/>
    <w:rPr>
      <w:rFonts w:ascii="楷体_GB2312" w:hAnsi="Copperplate Gothic Bold" w:eastAsia="楷体_GB2312"/>
      <w:sz w:val="28"/>
    </w:rPr>
  </w:style>
  <w:style w:type="paragraph" w:styleId="6">
    <w:name w:val="Body Text First Indent"/>
    <w:basedOn w:val="2"/>
    <w:qFormat/>
    <w:uiPriority w:val="0"/>
    <w:rPr>
      <w:rFonts w:hAnsi="宋体"/>
      <w:sz w:val="18"/>
      <w:szCs w:val="18"/>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autoRedefine/>
    <w:qFormat/>
    <w:uiPriority w:val="0"/>
    <w:rPr>
      <w:rFonts w:hint="eastAsia" w:ascii="Calibri" w:hAnsi="Calibri" w:eastAsia="宋体" w:cs="宋体"/>
      <w:lang w:val="en-US"/>
    </w:rPr>
  </w:style>
  <w:style w:type="paragraph" w:customStyle="1" w:styleId="11">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5264</Words>
  <Characters>5440</Characters>
  <Lines>0</Lines>
  <Paragraphs>0</Paragraphs>
  <TotalTime>0</TotalTime>
  <ScaleCrop>false</ScaleCrop>
  <LinksUpToDate>false</LinksUpToDate>
  <CharactersWithSpaces>5934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2026-04-14T05:28:00Z</dcterms:created>
  <dc:creator>LX</dc:creator>
  <cp:lastModifiedBy>杜航</cp:lastModifiedBy>
  <dcterms:modified xsi:type="dcterms:W3CDTF">2026-04-14T05:30:24Z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eyJoZGlkIjoiYjZiMGI5ODIwMTZlZjQ5ZjAxYWQzZTExY2JmOTM2MTMiLCJ1c2VySWQiOiIzMDgwODY2MDYifQ==</vt:lpwstr>
  </property>
  <property fmtid="{D5CDD505-2E9C-101B-9397-08002B2CF9AE}" pid="4" name="ICV">
    <vt:lpwstr>ACCBC43373804289BFC519C72F7A1E0C_12</vt:lpwstr>
  </property>
</Properties>
</file>