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版本号：CGZC-2025-277、XACH2026-00720260417001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办公用品采购项目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CGZC-2025-277、XACH2026-007</w:t>
      </w:r>
      <w:r>
        <w:br/>
      </w:r>
      <w:r>
        <w:br/>
      </w:r>
      <w:r>
        <w:br/>
      </w:r>
    </w:p>
    <w:p>
      <w:pPr>
        <w:pStyle w:val="null3"/>
        <w:jc w:val="center"/>
        <w:outlineLvl w:val="2"/>
      </w:pPr>
      <w:r>
        <w:rPr>
          <w:rFonts w:ascii="仿宋_GB2312" w:hAnsi="仿宋_GB2312" w:cs="仿宋_GB2312" w:eastAsia="仿宋_GB2312"/>
          <w:sz w:val="28"/>
          <w:b/>
        </w:rPr>
        <w:t>西安浐灞国际港党政办公室</w:t>
      </w:r>
    </w:p>
    <w:p>
      <w:pPr>
        <w:pStyle w:val="null3"/>
        <w:jc w:val="center"/>
        <w:outlineLvl w:val="2"/>
      </w:pPr>
      <w:r>
        <w:rPr>
          <w:rFonts w:ascii="仿宋_GB2312" w:hAnsi="仿宋_GB2312" w:cs="仿宋_GB2312" w:eastAsia="仿宋_GB2312"/>
          <w:sz w:val="28"/>
          <w:b/>
        </w:rPr>
        <w:t>西安辰和工程咨询有限公司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西安辰和工程咨询有限公司</w:t>
      </w:r>
      <w:r>
        <w:rPr>
          <w:rFonts w:ascii="仿宋_GB2312" w:hAnsi="仿宋_GB2312" w:cs="仿宋_GB2312" w:eastAsia="仿宋_GB2312"/>
        </w:rPr>
        <w:t>（以下简称“代理机构”）受</w:t>
      </w:r>
      <w:r>
        <w:rPr>
          <w:rFonts w:ascii="仿宋_GB2312" w:hAnsi="仿宋_GB2312" w:cs="仿宋_GB2312" w:eastAsia="仿宋_GB2312"/>
        </w:rPr>
        <w:t>西安浐灞国际港党政办公室</w:t>
      </w:r>
      <w:r>
        <w:rPr>
          <w:rFonts w:ascii="仿宋_GB2312" w:hAnsi="仿宋_GB2312" w:cs="仿宋_GB2312" w:eastAsia="仿宋_GB2312"/>
        </w:rPr>
        <w:t>委托，拟对</w:t>
      </w:r>
      <w:r>
        <w:rPr>
          <w:rFonts w:ascii="仿宋_GB2312" w:hAnsi="仿宋_GB2312" w:cs="仿宋_GB2312" w:eastAsia="仿宋_GB2312"/>
        </w:rPr>
        <w:t>办公用品采购项目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CGZC-2025-277、XACH2026-007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办公用品采购项目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采购办公用品，主要包括纸张、笔、档案盒等各类办公室用品。</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具有独立承担民事责任的能力：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供应商需在项目电子化交易系统中按要求上传相应证明文件并进行电子签章。</w:t>
      </w:r>
    </w:p>
    <w:p>
      <w:pPr>
        <w:pStyle w:val="null3"/>
      </w:pPr>
      <w:r>
        <w:rPr>
          <w:rFonts w:ascii="仿宋_GB2312" w:hAnsi="仿宋_GB2312" w:cs="仿宋_GB2312" w:eastAsia="仿宋_GB2312"/>
        </w:rPr>
        <w:t>2、供应商应授权合法的人员参加投标全过程：法定代表人授权委托书（附法定代表人身份证复印件）及被授权委托人身份证复印件，并提供被授权委托人在本单位缴纳社保的证明材料（法定代表人参加投标只需提供法定代表人身份证复印件）</w:t>
      </w:r>
    </w:p>
    <w:p>
      <w:pPr>
        <w:pStyle w:val="null3"/>
      </w:pPr>
      <w:r>
        <w:rPr>
          <w:rFonts w:ascii="仿宋_GB2312" w:hAnsi="仿宋_GB2312" w:cs="仿宋_GB2312" w:eastAsia="仿宋_GB2312"/>
        </w:rPr>
        <w:t>3、供应商基本资格条件承诺函：供应商须满足《中华人民共和国政府采购法》第二十二条规定（提供承诺函）；供应商需在项目电子化交易系统中按要求上传相应证明文件并进行电子签章。</w:t>
      </w:r>
    </w:p>
    <w:p>
      <w:pPr>
        <w:pStyle w:val="null3"/>
      </w:pPr>
      <w:r>
        <w:rPr>
          <w:rFonts w:ascii="仿宋_GB2312" w:hAnsi="仿宋_GB2312" w:cs="仿宋_GB2312" w:eastAsia="仿宋_GB2312"/>
        </w:rPr>
        <w:t>4、非联合体投标：非联合体投标声明；供应商需在项目电子化交易系统中按要求上传相应证明文件并进行电子签章。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西安浐灞国际港党政办公室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西安浐灞国际港港务大道6号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029-88072319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西安辰和工程咨询有限公司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西安高新区锦业路59号高科智慧园B座四层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文奕奕、单云、王文文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029-87563729、029-82285837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西安浐灞国际港财政金融局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袁老师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029-83521198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由中标供应商支付代理服务费，代理服务费参照《国家计委关于印发&lt;招标代理服务收费管理暂行办法&gt;的通知》（计价格〔2002〕1980号）和发改办价格〔2003〕857号以及发改价格〔2011〕534号文中规定的标准执行，按差额定率累进法收取费用，本项目以预算金额120万元为计算基数，收取代理服务17200.00元。</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西安浐灞国际港党政办公室</w:t>
      </w:r>
      <w:r>
        <w:rPr>
          <w:rFonts w:ascii="仿宋_GB2312" w:hAnsi="仿宋_GB2312" w:cs="仿宋_GB2312" w:eastAsia="仿宋_GB2312"/>
        </w:rPr>
        <w:t>和</w:t>
      </w:r>
      <w:r>
        <w:rPr>
          <w:rFonts w:ascii="仿宋_GB2312" w:hAnsi="仿宋_GB2312" w:cs="仿宋_GB2312" w:eastAsia="仿宋_GB2312"/>
        </w:rPr>
        <w:t>西安辰和工程咨询有限公司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西安浐灞国际港党政办公室</w:t>
      </w:r>
      <w:r>
        <w:rPr>
          <w:rFonts w:ascii="仿宋_GB2312" w:hAnsi="仿宋_GB2312" w:cs="仿宋_GB2312" w:eastAsia="仿宋_GB2312"/>
        </w:rPr>
        <w:t>负责解释。除上述招标文件内容，其他内容由</w:t>
      </w:r>
      <w:r>
        <w:rPr>
          <w:rFonts w:ascii="仿宋_GB2312" w:hAnsi="仿宋_GB2312" w:cs="仿宋_GB2312" w:eastAsia="仿宋_GB2312"/>
        </w:rPr>
        <w:t>西安辰和工程咨询有限公司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西安浐灞国际港党政办公室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西安辰和工程咨询有限公司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60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产品符合国家法律法规规定的标准、招标文件的要求。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联系人：文奕奕、单云、王文文</w:t>
      </w:r>
    </w:p>
    <w:p>
      <w:pPr>
        <w:pStyle w:val="null3"/>
      </w:pPr>
      <w:r>
        <w:rPr>
          <w:rFonts w:ascii="仿宋_GB2312" w:hAnsi="仿宋_GB2312" w:cs="仿宋_GB2312" w:eastAsia="仿宋_GB2312"/>
        </w:rPr>
        <w:t>联系电话：029-87563729、029-82285837</w:t>
      </w:r>
    </w:p>
    <w:p>
      <w:pPr>
        <w:pStyle w:val="null3"/>
      </w:pPr>
      <w:r>
        <w:rPr>
          <w:rFonts w:ascii="仿宋_GB2312" w:hAnsi="仿宋_GB2312" w:cs="仿宋_GB2312" w:eastAsia="仿宋_GB2312"/>
        </w:rPr>
        <w:t>地址：西安高新区锦业路59号高科智慧园B座四层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采购办公用品，主要包括纸张、笔、档案盒等各类办公室用品。</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1,200,000.00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办公用品采购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标的名称：办公用品采购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251"/>
              <w:gridCol w:w="525"/>
              <w:gridCol w:w="898"/>
              <w:gridCol w:w="233"/>
              <w:gridCol w:w="305"/>
              <w:gridCol w:w="328"/>
            </w:tblGrid>
            <w:tr>
              <w:tc>
                <w:tcPr>
                  <w:tcW w:type="dxa" w:w="2540"/>
                  <w:gridSpan w:val="6"/>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一、采购清单</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525"/>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品名品规</w:t>
                  </w:r>
                </w:p>
              </w:tc>
              <w:tc>
                <w:tcPr>
                  <w:tcW w:type="dxa" w:w="898"/>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规格参数</w:t>
                  </w:r>
                </w:p>
              </w:tc>
              <w:tc>
                <w:tcPr>
                  <w:tcW w:type="dxa" w:w="233"/>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w:t>
                  </w:r>
                </w:p>
              </w:tc>
              <w:tc>
                <w:tcPr>
                  <w:tcW w:type="dxa" w:w="305"/>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单位</w:t>
                  </w:r>
                </w:p>
              </w:tc>
              <w:tc>
                <w:tcPr>
                  <w:tcW w:type="dxa" w:w="328"/>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基准价（元）</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档案盒</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35mm;加厚PP材质</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档案盒</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55mm;加厚PP材质</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档案盒</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75mm;加厚PP材质</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16.00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档案盒</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100mm;加厚PP材质</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20.90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文件夹</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A4;单强力夹</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6.80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文件夹</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A4;双强力夹</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7.90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文件夹</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A4；纸质加厚</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拉杆夹</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A4;小杆拉杆夹</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拉杆夹</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A4;水滴型拉杆夹</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书写板夹</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A4;书写板夹；PP材质</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书写板夹</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A4；加厚透明；</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13.00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中性笔</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0.5mm;按动；12支/盒</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中性笔</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0.5mm;12支/盒</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中性笔</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0.7mm;12支/盒</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中性笔</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1.0mm;12支/盒</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直液式中性笔</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0.7mm;12支/盒</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中性笔芯</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0.5mm;20支/盒</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中性笔芯</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0.5mm;20支/盒；按动</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记号笔</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油性双头；</w:t>
                  </w:r>
                  <w:r>
                    <w:rPr>
                      <w:rFonts w:ascii="仿宋_GB2312" w:hAnsi="仿宋_GB2312" w:cs="仿宋_GB2312" w:eastAsia="仿宋_GB2312"/>
                      <w:sz w:val="24"/>
                      <w:color w:val="000000"/>
                    </w:rPr>
                    <w:t>10支/盒</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白板笔</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易擦；</w:t>
                  </w:r>
                  <w:r>
                    <w:rPr>
                      <w:rFonts w:ascii="仿宋_GB2312" w:hAnsi="仿宋_GB2312" w:cs="仿宋_GB2312" w:eastAsia="仿宋_GB2312"/>
                      <w:sz w:val="24"/>
                      <w:color w:val="000000"/>
                    </w:rPr>
                    <w:t>12支/盒</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荧光笔</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6色套装；醒目；6支/盒</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套装</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13.00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A4复印纸</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70克；1件*8包*500张</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160.00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A3复印纸</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70克；1件*4包*500张</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160.00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彩色复印纸</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A4;80克；100张/包</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11.00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皮纹纸</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A4;160克；100张/包</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皮纹纸</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A3;160克；100张/包</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30.00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燕尾夹</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15mm;彩色；60枚/盒</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11.90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燕尾夹</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19mm;彩色；40枚/盒</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燕尾夹</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25mm;彩色；48枚/盒</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14.50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燕尾夹</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32mm;彩色；24枚/盒</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10.90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燕尾夹</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41mm;彩色；24枚/盒</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17.90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燕尾夹</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50mm;彩色；12枚/盒</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14.90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燕尾夹</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15mm;黑色；12枚/盒</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枚</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0.30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燕尾夹</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19mm;黑色；12枚/盒</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枚</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0.40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燕尾夹</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25mm;黑色；12枚/盒</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枚</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0.50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燕尾夹</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32mm;黑色；12枚/盒</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枚</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0.70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37</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燕尾夹</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41mm;黑色；12枚/盒</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枚</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燕尾夹</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50mm;黑色；12枚/盒</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枚</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39</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资料册</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10页；PP材质；抗摔裂</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资料册</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20页；PP材质；抗摔裂</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资料册</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30页；PP材质；抗摔裂</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11.00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42</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资料册</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40页；PP材质；抗摔裂</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资料册</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60页；PP材质；抗摔裂</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13.00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44</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资料册</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80页；PP材质；抗摔裂</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资料册</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100页；PP材质；抗摔裂</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28.00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46</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软抄</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25K；40型</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本</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47</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软抄</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25K；60型</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本</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48</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软抄</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25K；80型</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本</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49</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软抄</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B5；60型</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本</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皮面本</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25K；112页/本</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本</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51</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皮面本</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18K；96页/本</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本</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16.00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52</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会议记录本</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18K；74页/本</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本</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13.00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53</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活页皮面本</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25K</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本</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54</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活页皮面本</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18K</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本</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35.00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55</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文件袋</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A4；暗扣；透明；18丝</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56</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文件袋</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A4；暗扣；透明；pp材质</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57</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文件袋</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A4；魔术贴；透明；pp材质</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58</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文件袋</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A4；网格；4色</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59</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手提文件袋</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牛津布；</w:t>
                  </w:r>
                  <w:r>
                    <w:rPr>
                      <w:rFonts w:ascii="仿宋_GB2312" w:hAnsi="仿宋_GB2312" w:cs="仿宋_GB2312" w:eastAsia="仿宋_GB2312"/>
                      <w:sz w:val="24"/>
                      <w:color w:val="000000"/>
                    </w:rPr>
                    <w:t>A4；单层单拉链</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手提文件袋</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大容量；双层双拉链</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14.00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61</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手提文件袋</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手提式；仿皮质；双层</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30.00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62</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11孔袋</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A4；透明；抗撕裂</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18.00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63</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L型袋</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A4；透明；抗撕裂；L型</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64</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纸质档案袋</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牛皮纸；</w:t>
                  </w:r>
                  <w:r>
                    <w:rPr>
                      <w:rFonts w:ascii="仿宋_GB2312" w:hAnsi="仿宋_GB2312" w:cs="仿宋_GB2312" w:eastAsia="仿宋_GB2312"/>
                      <w:sz w:val="24"/>
                      <w:color w:val="000000"/>
                    </w:rPr>
                    <w:t>A4；竖式；背厚3㎝</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65</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纸质档案袋</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牛皮纸；</w:t>
                  </w:r>
                  <w:r>
                    <w:rPr>
                      <w:rFonts w:ascii="仿宋_GB2312" w:hAnsi="仿宋_GB2312" w:cs="仿宋_GB2312" w:eastAsia="仿宋_GB2312"/>
                      <w:sz w:val="24"/>
                      <w:color w:val="000000"/>
                    </w:rPr>
                    <w:t>A4；竖式；背厚8㎝</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66</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信封</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牛皮纸；</w:t>
                  </w:r>
                  <w:r>
                    <w:rPr>
                      <w:rFonts w:ascii="仿宋_GB2312" w:hAnsi="仿宋_GB2312" w:cs="仿宋_GB2312" w:eastAsia="仿宋_GB2312"/>
                      <w:sz w:val="24"/>
                      <w:color w:val="000000"/>
                    </w:rPr>
                    <w:t>7#</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0.20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67</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信封</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牛皮纸；</w:t>
                  </w:r>
                  <w:r>
                    <w:rPr>
                      <w:rFonts w:ascii="仿宋_GB2312" w:hAnsi="仿宋_GB2312" w:cs="仿宋_GB2312" w:eastAsia="仿宋_GB2312"/>
                      <w:sz w:val="24"/>
                      <w:color w:val="000000"/>
                    </w:rPr>
                    <w:t>9#</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0.30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68</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信封</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牛皮纸；</w:t>
                  </w:r>
                  <w:r>
                    <w:rPr>
                      <w:rFonts w:ascii="仿宋_GB2312" w:hAnsi="仿宋_GB2312" w:cs="仿宋_GB2312" w:eastAsia="仿宋_GB2312"/>
                      <w:sz w:val="24"/>
                      <w:color w:val="000000"/>
                    </w:rPr>
                    <w:t>C4</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0.40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69</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计算器</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12位；双电源；149mm*120mm</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14.00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70</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计算器</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12位；双电源；190mm*148mm</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28.00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71</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计算器</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12位；双电源；金属面坂</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35.90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72</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修正带</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8M*5mm</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73</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修正带</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30M*5mm</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74</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卷笔刀</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48个/盒，适合6.9-9mm口径</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75</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直尺</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20支/盒，高精度透明</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76</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卷尺</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5M；抗摔；宽体</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11.50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77</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橡皮</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2B；树脂</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块</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78</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铅笔</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12支/盒；HB</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79</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剪刀</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12把/盒；170mm</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剪刀</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12把/盒；154mm；舒适握把</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81</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美工刀</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18mm；24把/盒</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82</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美工刀</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9mm；48把/盒</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83</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订书针</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12#；1000枚/盒</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84</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加厚订书针</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100页；加厚；1000枚/盒</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不锈钢订书针</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12#；不锈钢；1000枚/盒</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7.00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86</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订书机</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12#；可订2-25页，旋转机头</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13.00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87</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省力订书机</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12#；可订2-25页；省力</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22.00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88</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省力订书机</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12#；可订2-25页；省力高</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89</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加厚订书机</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可订</w:t>
                  </w:r>
                  <w:r>
                    <w:rPr>
                      <w:rFonts w:ascii="仿宋_GB2312" w:hAnsi="仿宋_GB2312" w:cs="仿宋_GB2312" w:eastAsia="仿宋_GB2312"/>
                      <w:sz w:val="24"/>
                      <w:color w:val="000000"/>
                    </w:rPr>
                    <w:t>2-210页</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86.00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90</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起钉器</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24个/盒；安全锁</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91</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起钉器</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18个/盒；安全锁</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92</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号码机</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6位；自动变号；按压</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65.00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93</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削笔器</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12个/包；舒适办公</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94</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回形针</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100支/盒；10盒/包；3#</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95</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彩色回形针</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彩色</w:t>
                  </w:r>
                  <w:r>
                    <w:rPr>
                      <w:rFonts w:ascii="仿宋_GB2312" w:hAnsi="仿宋_GB2312" w:cs="仿宋_GB2312" w:eastAsia="仿宋_GB2312"/>
                      <w:sz w:val="24"/>
                      <w:color w:val="000000"/>
                    </w:rPr>
                    <w:t>100支/盒；10盒/包；3#</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96</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笔筒</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铁网；方形</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97</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多功能笔筒</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时尚办公；环保材质；</w:t>
                  </w:r>
                  <w:r>
                    <w:rPr>
                      <w:rFonts w:ascii="仿宋_GB2312" w:hAnsi="仿宋_GB2312" w:cs="仿宋_GB2312" w:eastAsia="仿宋_GB2312"/>
                      <w:sz w:val="24"/>
                      <w:color w:val="000000"/>
                    </w:rPr>
                    <w:t>4层</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98</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胶水</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24瓶/盒；液体；50ml</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瓶</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99</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胶水</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12瓶/盒；液体；125ml</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瓶</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固体胶</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12支/盒；固体；21g</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101</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固体胶</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12支/盒；固体；36g</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102</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胶带</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12mm*18y；12卷/筒</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卷</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103</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双面胶</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1.5mm*10y；10卷/筒</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卷</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104</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双面胶</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3.0mm*10y；12卷/筒</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卷</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105</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宽胶带</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5.5cm*50y；6卷/筒</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卷</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106</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宽胶带</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5.5cm*100y；6卷/筒</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卷</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9.00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107</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泡沫双面胶</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24mm*5y；12卷/盒</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卷</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108</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泡沫双面胶</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36mm*5y；12卷/盒</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卷</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109</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便利贴</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76mm*76mm；黄色；100页/包</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110</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便利贴</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76mm*102mm；黄色；100页/包</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111</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便签纸</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107mm*96mm；白色；300页/盒</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11.80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112</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印台</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方形；红色；蓝色；塑盒</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113</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印台</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圆形；红色；蓝色；塑盒</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6.40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114</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印油</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40ml；12瓶/盒；红/蓝</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瓶</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6.40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115</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回墨印油</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10ml；红/蓝</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瓶</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16.00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116</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皮筋</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200g/包</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7.00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117</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桌牌</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200mm*100mm</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9.00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118</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桌牌</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A4；20个/盒</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26.00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119</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书立</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178mm；铁质；20付/盒</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付</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17.00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意见箱</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A4；铝合金</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121</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意见箱</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320mm*260mm*120mm；铝合金</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75.00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122</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文件栏</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3格；蓝/黑</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16.50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123</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文件栏</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4格；蓝/黑</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19.00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124</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文件柜</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5层；透明抽屉</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109.00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125</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三层文件座</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三层</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28.00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126</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5号电池</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8节/板；6板/盒；无汞环保</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节</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127</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7号电池</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8节/板；6板/盒；无汞环保</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节</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128</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纸篓</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环保塑料；压圈式；</w:t>
                  </w:r>
                  <w:r>
                    <w:rPr>
                      <w:rFonts w:ascii="仿宋_GB2312" w:hAnsi="仿宋_GB2312" w:cs="仿宋_GB2312" w:eastAsia="仿宋_GB2312"/>
                      <w:sz w:val="24"/>
                      <w:color w:val="000000"/>
                    </w:rPr>
                    <w:t>10L</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14.00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129</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茶渣篓</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茶渣分离；</w:t>
                  </w:r>
                  <w:r>
                    <w:rPr>
                      <w:rFonts w:ascii="仿宋_GB2312" w:hAnsi="仿宋_GB2312" w:cs="仿宋_GB2312" w:eastAsia="仿宋_GB2312"/>
                      <w:sz w:val="24"/>
                      <w:color w:val="000000"/>
                    </w:rPr>
                    <w:t>8L</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130</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电话机</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来电显示</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81.00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131</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子母电话机</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一拖二；远距离</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268.00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132</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毛巾</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纯棉</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条</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133</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抹布</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科技布</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条</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7.00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134</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抽纸</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120抽/6包/提/8提/件</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提</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16.80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135</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盒抽</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3盒/提；12提/件</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7.50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136</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纸杯</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50个/包/40包/件，安全不漏</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195.00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137</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拖把</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棉线；</w:t>
                  </w:r>
                  <w:r>
                    <w:rPr>
                      <w:rFonts w:ascii="仿宋_GB2312" w:hAnsi="仿宋_GB2312" w:cs="仿宋_GB2312" w:eastAsia="仿宋_GB2312"/>
                      <w:sz w:val="24"/>
                      <w:color w:val="000000"/>
                    </w:rPr>
                    <w:t>10个/捆</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14.00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138</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套扫</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28.00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139</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垃圾袋</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厚</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扎</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6.50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140</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垃圾袋</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薄</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扎</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141</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卷纸</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10卷/提/10提/卷</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提</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21.00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142</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键盘</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舒适按键；</w:t>
                  </w:r>
                  <w:r>
                    <w:rPr>
                      <w:rFonts w:ascii="仿宋_GB2312" w:hAnsi="仿宋_GB2312" w:cs="仿宋_GB2312" w:eastAsia="仿宋_GB2312"/>
                      <w:sz w:val="24"/>
                      <w:color w:val="000000"/>
                    </w:rPr>
                    <w:t>USB接口</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45.00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143</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鼠标</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即插即用；</w:t>
                  </w:r>
                  <w:r>
                    <w:rPr>
                      <w:rFonts w:ascii="仿宋_GB2312" w:hAnsi="仿宋_GB2312" w:cs="仿宋_GB2312" w:eastAsia="仿宋_GB2312"/>
                      <w:sz w:val="24"/>
                      <w:color w:val="000000"/>
                    </w:rPr>
                    <w:t>USB接口；有线</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35.00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144</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插线板</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3.0M;8孔；防触电；防雷击</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68.00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145</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接线板</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1.8M;8孔；防触电；防雷击</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58.00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146</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接线板</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5.0M;8孔；防触电；防雷击</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88.00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147</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优盘</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即插即用；</w:t>
                  </w:r>
                  <w:r>
                    <w:rPr>
                      <w:rFonts w:ascii="仿宋_GB2312" w:hAnsi="仿宋_GB2312" w:cs="仿宋_GB2312" w:eastAsia="仿宋_GB2312"/>
                      <w:sz w:val="24"/>
                      <w:color w:val="000000"/>
                    </w:rPr>
                    <w:t>USB2.0接口；16G</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45.00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148</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优盘</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即插即用；</w:t>
                  </w:r>
                  <w:r>
                    <w:rPr>
                      <w:rFonts w:ascii="仿宋_GB2312" w:hAnsi="仿宋_GB2312" w:cs="仿宋_GB2312" w:eastAsia="仿宋_GB2312"/>
                      <w:sz w:val="24"/>
                      <w:color w:val="000000"/>
                    </w:rPr>
                    <w:t>USB2.0接口；64G</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65.00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149</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激光笔</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红光；光点可调；笔夹设计</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23.00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翻页激光笔</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50M遥控距离；可翻页；红光</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99.00</w:t>
                  </w:r>
                </w:p>
              </w:tc>
            </w:tr>
            <w:tr>
              <w:tc>
                <w:tcPr>
                  <w:tcW w:type="dxa" w:w="25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151</w:t>
                  </w:r>
                </w:p>
              </w:tc>
              <w:tc>
                <w:tcPr>
                  <w:tcW w:type="dxa" w:w="5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扩展坞</w:t>
                  </w:r>
                </w:p>
              </w:tc>
              <w:tc>
                <w:tcPr>
                  <w:tcW w:type="dxa" w:w="89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USB扩展；4口</w:t>
                  </w:r>
                </w:p>
              </w:tc>
              <w:tc>
                <w:tcPr>
                  <w:tcW w:type="dxa" w:w="23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2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50.00</w:t>
                  </w:r>
                </w:p>
              </w:tc>
            </w:tr>
          </w:tbl>
          <w:p>
            <w:pPr>
              <w:pStyle w:val="null3"/>
              <w:jc w:val="both"/>
            </w:pPr>
            <w:r>
              <w:rPr>
                <w:rFonts w:ascii="仿宋_GB2312" w:hAnsi="仿宋_GB2312" w:cs="仿宋_GB2312" w:eastAsia="仿宋_GB2312"/>
                <w:sz w:val="24"/>
                <w:b/>
              </w:rPr>
              <w:t>注：</w:t>
            </w:r>
            <w:r>
              <w:rPr>
                <w:rFonts w:ascii="仿宋_GB2312" w:hAnsi="仿宋_GB2312" w:cs="仿宋_GB2312" w:eastAsia="仿宋_GB2312"/>
                <w:sz w:val="24"/>
                <w:b/>
              </w:rPr>
              <w:t>本项目核心产品：</w:t>
            </w:r>
            <w:r>
              <w:rPr>
                <w:rFonts w:ascii="仿宋_GB2312" w:hAnsi="仿宋_GB2312" w:cs="仿宋_GB2312" w:eastAsia="仿宋_GB2312"/>
                <w:sz w:val="24"/>
                <w:b/>
              </w:rPr>
              <w:t>A4复印纸。</w:t>
            </w:r>
          </w:p>
          <w:p>
            <w:pPr>
              <w:pStyle w:val="null3"/>
              <w:jc w:val="both"/>
            </w:pPr>
            <w:r>
              <w:rPr>
                <w:rFonts w:ascii="仿宋_GB2312" w:hAnsi="仿宋_GB2312" w:cs="仿宋_GB2312" w:eastAsia="仿宋_GB2312"/>
                <w:sz w:val="24"/>
              </w:rPr>
              <w:t>二、服务要求</w:t>
            </w:r>
          </w:p>
          <w:p>
            <w:pPr>
              <w:pStyle w:val="null3"/>
              <w:ind w:firstLine="240"/>
              <w:jc w:val="left"/>
            </w:pP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负责货物的包装、运送等工作，直至该货物可以正常使用；提供货物的相应产品的检定证书及产品合格证书等相关资料；并承担由此产生的全部费用。</w:t>
            </w:r>
          </w:p>
          <w:p>
            <w:pPr>
              <w:pStyle w:val="null3"/>
              <w:jc w:val="left"/>
            </w:pPr>
            <w:r>
              <w:rPr>
                <w:rFonts w:ascii="仿宋_GB2312" w:hAnsi="仿宋_GB2312" w:cs="仿宋_GB2312" w:eastAsia="仿宋_GB2312"/>
                <w:sz w:val="24"/>
                <w:color w:val="000000"/>
              </w:rPr>
              <w:t>三、验收</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验收时间：</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提出验收申请后，</w:t>
            </w:r>
            <w:r>
              <w:rPr>
                <w:rFonts w:ascii="仿宋_GB2312" w:hAnsi="仿宋_GB2312" w:cs="仿宋_GB2312" w:eastAsia="仿宋_GB2312"/>
                <w:sz w:val="24"/>
                <w:color w:val="000000"/>
              </w:rPr>
              <w:t>采购人</w:t>
            </w:r>
            <w:r>
              <w:rPr>
                <w:rFonts w:ascii="仿宋_GB2312" w:hAnsi="仿宋_GB2312" w:cs="仿宋_GB2312" w:eastAsia="仿宋_GB2312"/>
                <w:sz w:val="24"/>
                <w:color w:val="000000"/>
              </w:rPr>
              <w:t>应及时组织验收，</w:t>
            </w:r>
            <w:r>
              <w:rPr>
                <w:rFonts w:ascii="仿宋_GB2312" w:hAnsi="仿宋_GB2312" w:cs="仿宋_GB2312" w:eastAsia="仿宋_GB2312"/>
                <w:sz w:val="24"/>
                <w:color w:val="000000"/>
              </w:rPr>
              <w:t>采购人</w:t>
            </w:r>
            <w:r>
              <w:rPr>
                <w:rFonts w:ascii="仿宋_GB2312" w:hAnsi="仿宋_GB2312" w:cs="仿宋_GB2312" w:eastAsia="仿宋_GB2312"/>
                <w:sz w:val="24"/>
                <w:color w:val="000000"/>
              </w:rPr>
              <w:t>验收合格后应当出具验收报告。</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验收标准</w:t>
            </w:r>
          </w:p>
          <w:p>
            <w:pPr>
              <w:pStyle w:val="null3"/>
              <w:jc w:val="left"/>
            </w:pPr>
            <w:r>
              <w:rPr>
                <w:rFonts w:ascii="仿宋_GB2312" w:hAnsi="仿宋_GB2312" w:cs="仿宋_GB2312" w:eastAsia="仿宋_GB2312"/>
                <w:sz w:val="24"/>
                <w:color w:val="000000"/>
              </w:rPr>
              <w:t>(1)产品合格证和其它应具有的单证；</w:t>
            </w:r>
          </w:p>
          <w:p>
            <w:pPr>
              <w:pStyle w:val="null3"/>
              <w:jc w:val="left"/>
            </w:pPr>
            <w:r>
              <w:rPr>
                <w:rFonts w:ascii="仿宋_GB2312" w:hAnsi="仿宋_GB2312" w:cs="仿宋_GB2312" w:eastAsia="仿宋_GB2312"/>
                <w:sz w:val="24"/>
                <w:color w:val="000000"/>
              </w:rPr>
              <w:t>(2)质量符合国家法律法规规定的标准、招标文件和投标文件的要求。</w:t>
            </w:r>
          </w:p>
          <w:p>
            <w:pPr>
              <w:pStyle w:val="null3"/>
              <w:jc w:val="left"/>
            </w:pPr>
            <w:r>
              <w:rPr>
                <w:rFonts w:ascii="仿宋_GB2312" w:hAnsi="仿宋_GB2312" w:cs="仿宋_GB2312" w:eastAsia="仿宋_GB2312"/>
                <w:sz w:val="24"/>
                <w:color w:val="000000"/>
              </w:rPr>
              <w:t>四、报价说明</w:t>
            </w:r>
          </w:p>
          <w:p>
            <w:pPr>
              <w:pStyle w:val="null3"/>
              <w:jc w:val="left"/>
            </w:pPr>
            <w:r>
              <w:rPr>
                <w:rFonts w:ascii="仿宋_GB2312" w:hAnsi="仿宋_GB2312" w:cs="仿宋_GB2312" w:eastAsia="仿宋_GB2312"/>
                <w:sz w:val="24"/>
                <w:color w:val="000000"/>
              </w:rPr>
              <w:t>1、报价形式:下浮率。</w:t>
            </w:r>
          </w:p>
          <w:p>
            <w:pPr>
              <w:pStyle w:val="null3"/>
            </w:pPr>
            <w:r>
              <w:rPr>
                <w:rFonts w:ascii="仿宋_GB2312" w:hAnsi="仿宋_GB2312" w:cs="仿宋_GB2312" w:eastAsia="仿宋_GB2312"/>
                <w:sz w:val="24"/>
              </w:rPr>
              <w:t>2、结算时合同单价计算方式为:合同单价=基准价*(1-中标下浮率)。</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服务期限：一年；交货期：接到甲方需求单2个日历日内交货。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经采购人验收合格后，第一季度根据实际采购量及合同单价据实结算后一次性支付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经采购人验收合格后，第二季度根据实际采购量及合同单价据实结算后一次性支付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经采购人验收合格后，第三季度根据实际采购量及合同单价据实结算后一次性支付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经采购人验收合格后，第四季度根据实际采购量及合同单价据实结算后一次性支付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1、验收时间：供应商提出验收申请后，采购人应及时组织验收，甲方验收合格后应当出具验收报告。 2、验收标准： (1)产品合格证和其它应具有的单证； (2)质量符合国家法律法规规定的标准、招标文件和投标文件的要求。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 1、采购人违反合同规定拒绝收货的，应当承担由此对供应商造成的损失。 2、供应商不能按期交货的，每逾期1日，供应商应向采购人赔付合同暂定金额的1%作为违约金，供应商超过7日不能交货的，采购人有权从其他渠道获取，由此产生的费用由供应商承担。 3、供应商所交货物超过3次不符合采购人验收要求或超过15日不能交货的，采购人有权解除采购合同，供应商需按合同暂定金额的30%向采购人支付违约金，并承担由此产生的费用和一切责任。 争议解决：双方本着友好合作的态度,对合同履行过程中发生的纠纷应及时协商解决,协商不成，向采购人所在地人民法院诉讼解决。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投标报价为完成本项目招标文件中所提出的工作范围及要求的全部内容，并达到国家及采购人验收标准而产生的所有费用，包括但不限于货物价款(含通常配备的备品备件、易损件）、人工费、运杂费（含保险费）、验收费、售后服务、招标代理服务费、利润、风险、税金及在项目实施过程中所发生的所有费用，任何错报、漏报由供应商自行负责。 3.5.2中标人领取中标通知书时须向代理机构提交纸质版投标文件：正本壹份、副本贰份、电子版（U盘）贰份。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法定代表人授权委托书（附法定代表人身份证复印件）及被授权委托人身份证复印件，并提供被授权委托人在本单位缴纳社保的证明材料（法定代表人参加投标只需提供法定代表人身份证复印件）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供应商基本资格条件承诺函</w:t>
            </w:r>
          </w:p>
        </w:tc>
        <w:tc>
          <w:tcPr>
            <w:tcW w:type="dxa" w:w="3322"/>
          </w:tcPr>
          <w:p>
            <w:pPr>
              <w:pStyle w:val="null3"/>
            </w:pPr>
            <w:r>
              <w:rPr>
                <w:rFonts w:ascii="仿宋_GB2312" w:hAnsi="仿宋_GB2312" w:cs="仿宋_GB2312" w:eastAsia="仿宋_GB2312"/>
              </w:rPr>
              <w:t>供应商须满足《中华人民共和国政府采购法》第二十二条规定（提供承诺函）；供应商需在项目电子化交易系统中按要求上传相应证明文件并进行电子签章。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非联合体投标声明；供应商需在项目电子化交易系统中按要求上传相应证明文件并进行电子签章。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（一）出现下列情形之一的，评审委员会应当启动异常低价投标（响应）审查程序： 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2.投标报价低于通过符合性审查的次低报价供应商投标报价50%的，即投标报价&lt;通过符合性审查的次低报价供应商投标（响应）报价×50%； 3.投标报价低于采购项目最高限价45%的，即投标报价&lt;采购项目最高限价×45%； 4.评审委员会基于专业判断，认为供应商报价过低，有可能影响产品质量或者不能诚信履约的其他情形。 （二）评审委员会启动异常低价投标审查后，属于前述第1项至第4项情形的，相关供应商在30分钟内通过项目电子化交易系统进行提交，对投标价格作出解释，提供项目具体成本测算等与报价合理性相关的书面说明及必要的证明材料，包括但不限于原材料成本、人工成本、制造费用等。 评审委员会依据专业经验，参考同类项目中标（成交）价格、类似产品市场价格水平、行业人工费用标准、国家有关部门指导行业协会发布的行业平均成本等情况，对报价合理性进行判断。供应商提交的相关证明材料，应当加盖供应商（法定名称）电子印章，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开标一览表 报价一览表.docx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w:t>
            </w:r>
          </w:p>
        </w:tc>
        <w:tc>
          <w:tcPr>
            <w:tcW w:type="dxa" w:w="3322"/>
          </w:tcPr>
          <w:p>
            <w:pPr>
              <w:pStyle w:val="null3"/>
            </w:pPr>
            <w:r>
              <w:rPr>
                <w:rFonts w:ascii="仿宋_GB2312" w:hAnsi="仿宋_GB2312" w:cs="仿宋_GB2312" w:eastAsia="仿宋_GB2312"/>
              </w:rPr>
              <w:t>投标文件按照规定格式签字盖章;</w:t>
            </w:r>
          </w:p>
        </w:tc>
        <w:tc>
          <w:tcPr>
            <w:tcW w:type="dxa" w:w="1661"/>
          </w:tcPr>
          <w:p>
            <w:pPr>
              <w:pStyle w:val="null3"/>
            </w:pPr>
            <w:r>
              <w:rPr>
                <w:rFonts w:ascii="仿宋_GB2312" w:hAnsi="仿宋_GB2312" w:cs="仿宋_GB2312" w:eastAsia="仿宋_GB2312"/>
              </w:rPr>
              <w:t>开标一览表 报价一览表.docx 中小企业声明函 商务应答表 承诺书.docx 资格证明文件.docx 产品技术参数表 投标函 业绩证明文件及响应方案说明.docx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投标文件投标有效期达到招标文件的要求；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选择性报价</w:t>
            </w:r>
          </w:p>
        </w:tc>
        <w:tc>
          <w:tcPr>
            <w:tcW w:type="dxa" w:w="3322"/>
          </w:tcPr>
          <w:p>
            <w:pPr>
              <w:pStyle w:val="null3"/>
            </w:pPr>
            <w:r>
              <w:rPr>
                <w:rFonts w:ascii="仿宋_GB2312" w:hAnsi="仿宋_GB2312" w:cs="仿宋_GB2312" w:eastAsia="仿宋_GB2312"/>
              </w:rPr>
              <w:t>供应商针对同一货物未递交两份或多份内容不同的投标文件，未出现选择性报价；</w:t>
            </w:r>
          </w:p>
        </w:tc>
        <w:tc>
          <w:tcPr>
            <w:tcW w:type="dxa" w:w="1661"/>
          </w:tcPr>
          <w:p>
            <w:pPr>
              <w:pStyle w:val="null3"/>
            </w:pPr>
            <w:r>
              <w:rPr>
                <w:rFonts w:ascii="仿宋_GB2312" w:hAnsi="仿宋_GB2312" w:cs="仿宋_GB2312" w:eastAsia="仿宋_GB2312"/>
              </w:rPr>
              <w:t>开标一览表 报价一览表.docx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符合商务、技术要求</w:t>
            </w:r>
          </w:p>
        </w:tc>
        <w:tc>
          <w:tcPr>
            <w:tcW w:type="dxa" w:w="3322"/>
          </w:tcPr>
          <w:p>
            <w:pPr>
              <w:pStyle w:val="null3"/>
            </w:pPr>
            <w:r>
              <w:rPr>
                <w:rFonts w:ascii="仿宋_GB2312" w:hAnsi="仿宋_GB2312" w:cs="仿宋_GB2312" w:eastAsia="仿宋_GB2312"/>
              </w:rPr>
              <w:t>符合商务、技术要求，不存在重大负偏离；</w:t>
            </w:r>
          </w:p>
        </w:tc>
        <w:tc>
          <w:tcPr>
            <w:tcW w:type="dxa" w:w="1661"/>
          </w:tcPr>
          <w:p>
            <w:pPr>
              <w:pStyle w:val="null3"/>
            </w:pPr>
            <w:r>
              <w:rPr>
                <w:rFonts w:ascii="仿宋_GB2312" w:hAnsi="仿宋_GB2312" w:cs="仿宋_GB2312" w:eastAsia="仿宋_GB2312"/>
              </w:rPr>
              <w:t>开标一览表 报价一览表.docx 产品技术参数表 商务应答表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投标文件未附有采购人不能接受的条件</w:t>
            </w:r>
          </w:p>
        </w:tc>
        <w:tc>
          <w:tcPr>
            <w:tcW w:type="dxa" w:w="3322"/>
          </w:tcPr>
          <w:p>
            <w:pPr>
              <w:pStyle w:val="null3"/>
            </w:pPr>
            <w:r>
              <w:rPr>
                <w:rFonts w:ascii="仿宋_GB2312" w:hAnsi="仿宋_GB2312" w:cs="仿宋_GB2312" w:eastAsia="仿宋_GB2312"/>
              </w:rPr>
              <w:t>投标文件未附有采购人不能接受的条件；</w:t>
            </w:r>
          </w:p>
        </w:tc>
        <w:tc>
          <w:tcPr>
            <w:tcW w:type="dxa" w:w="1661"/>
          </w:tcPr>
          <w:p>
            <w:pPr>
              <w:pStyle w:val="null3"/>
            </w:pPr>
            <w:r>
              <w:rPr>
                <w:rFonts w:ascii="仿宋_GB2312" w:hAnsi="仿宋_GB2312" w:cs="仿宋_GB2312" w:eastAsia="仿宋_GB2312"/>
              </w:rPr>
              <w:t>开标一览表 报价一览表.docx 中小企业声明函 商务应答表 承诺书.docx 资格证明文件.docx 产品技术参数表 投标函 业绩证明文件及响应方案说明.docx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符合招标文件规定的其他实质性要求</w:t>
            </w:r>
          </w:p>
        </w:tc>
        <w:tc>
          <w:tcPr>
            <w:tcW w:type="dxa" w:w="3322"/>
          </w:tcPr>
          <w:p>
            <w:pPr>
              <w:pStyle w:val="null3"/>
            </w:pPr>
            <w:r>
              <w:rPr>
                <w:rFonts w:ascii="仿宋_GB2312" w:hAnsi="仿宋_GB2312" w:cs="仿宋_GB2312" w:eastAsia="仿宋_GB2312"/>
              </w:rPr>
              <w:t>符合招标文件规定的其他实质性要求；</w:t>
            </w:r>
          </w:p>
        </w:tc>
        <w:tc>
          <w:tcPr>
            <w:tcW w:type="dxa" w:w="1661"/>
          </w:tcPr>
          <w:p>
            <w:pPr>
              <w:pStyle w:val="null3"/>
            </w:pPr>
            <w:r>
              <w:rPr>
                <w:rFonts w:ascii="仿宋_GB2312" w:hAnsi="仿宋_GB2312" w:cs="仿宋_GB2312" w:eastAsia="仿宋_GB2312"/>
              </w:rPr>
              <w:t>开标一览表 报价一览表.docx 中小企业声明函 商务应答表 承诺书.docx 资格证明文件.docx 产品技术参数表 投标函 业绩证明文件及响应方案说明.docx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符合《中华人民共和国政府采购法》有关规定和招标纪律</w:t>
            </w:r>
          </w:p>
        </w:tc>
        <w:tc>
          <w:tcPr>
            <w:tcW w:type="dxa" w:w="3322"/>
          </w:tcPr>
          <w:p>
            <w:pPr>
              <w:pStyle w:val="null3"/>
            </w:pPr>
            <w:r>
              <w:rPr>
                <w:rFonts w:ascii="仿宋_GB2312" w:hAnsi="仿宋_GB2312" w:cs="仿宋_GB2312" w:eastAsia="仿宋_GB2312"/>
              </w:rPr>
              <w:t>符合《中华人民共和国政府采购法》有关规定和招标纪律。</w:t>
            </w:r>
          </w:p>
        </w:tc>
        <w:tc>
          <w:tcPr>
            <w:tcW w:type="dxa" w:w="1661"/>
          </w:tcPr>
          <w:p>
            <w:pPr>
              <w:pStyle w:val="null3"/>
            </w:pPr>
            <w:r>
              <w:rPr>
                <w:rFonts w:ascii="仿宋_GB2312" w:hAnsi="仿宋_GB2312" w:cs="仿宋_GB2312" w:eastAsia="仿宋_GB2312"/>
              </w:rPr>
              <w:t>开标一览表 报价一览表.docx 中小企业声明函 商务应答表 承诺书.docx 资格证明文件.docx 产品技术参数表 投标函 业绩证明文件及响应方案说明.docx 残疾人福利性单位声明函 标的清单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提供供应商2023年以来类似项目业绩合同（以合同签订时间为准），每份计1分，满分5分。（注：以上证明文件在投标文件中附合同扫描件并加盖公章。）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货物技术参数指标</w:t>
            </w:r>
          </w:p>
        </w:tc>
        <w:tc>
          <w:tcPr>
            <w:tcW w:type="dxa" w:w="2492"/>
          </w:tcPr>
          <w:p>
            <w:pPr>
              <w:pStyle w:val="null3"/>
            </w:pPr>
            <w:r>
              <w:rPr>
                <w:rFonts w:ascii="仿宋_GB2312" w:hAnsi="仿宋_GB2312" w:cs="仿宋_GB2312" w:eastAsia="仿宋_GB2312"/>
              </w:rPr>
              <w:t>所投产品选型、参数满足招标文件要求，性能质量好、符合相关国家标准规范计12分。未提供产品型号、参数或所投产品和采购人现有设备不适配或参数低于招标文件要求，每项扣0.5分，本项满分12分，扣完为止。（须在产品技术参数表中注明参数响应情况[正偏离/无偏离/负偏离]）。</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所投货物相关资料</w:t>
            </w:r>
          </w:p>
        </w:tc>
        <w:tc>
          <w:tcPr>
            <w:tcW w:type="dxa" w:w="2492"/>
          </w:tcPr>
          <w:p>
            <w:pPr>
              <w:pStyle w:val="null3"/>
            </w:pPr>
            <w:r>
              <w:rPr>
                <w:rFonts w:ascii="仿宋_GB2312" w:hAnsi="仿宋_GB2312" w:cs="仿宋_GB2312" w:eastAsia="仿宋_GB2312"/>
              </w:rPr>
              <w:t>投标产品附有详细的产品技术资料（包括但不限于认证证书或产品宣传彩页或检测报告或功能截图等），每提供一个所投品牌技术资料得0.2分，本项最高得3分。（须在投标文件中以醒目方式标注。）</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货物来源渠道证明</w:t>
            </w:r>
          </w:p>
        </w:tc>
        <w:tc>
          <w:tcPr>
            <w:tcW w:type="dxa" w:w="2492"/>
          </w:tcPr>
          <w:p>
            <w:pPr>
              <w:pStyle w:val="null3"/>
            </w:pPr>
            <w:r>
              <w:rPr>
                <w:rFonts w:ascii="仿宋_GB2312" w:hAnsi="仿宋_GB2312" w:cs="仿宋_GB2312" w:eastAsia="仿宋_GB2312"/>
              </w:rPr>
              <w:t>产品进货渠道证明材料。产品进货渠道正规，提供证明材料不限于销售协议、代理协议、厂家授权等相关资料，每提供一个所投品牌进货渠道证明材料得0.5分，本项最高得6分。（须在投标文件中以醒目方式标注。）</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提供产品为节能产品或环境标志产品，每提供一项得1分，满分2分。（以经国家确定的认证机构出具的、处于有效期内的节能产品、环境标志产品认证证书为准。）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供货组织安排</w:t>
            </w:r>
          </w:p>
        </w:tc>
        <w:tc>
          <w:tcPr>
            <w:tcW w:type="dxa" w:w="2492"/>
          </w:tcPr>
          <w:p>
            <w:pPr>
              <w:pStyle w:val="null3"/>
            </w:pPr>
            <w:r>
              <w:rPr>
                <w:rFonts w:ascii="仿宋_GB2312" w:hAnsi="仿宋_GB2312" w:cs="仿宋_GB2312" w:eastAsia="仿宋_GB2312"/>
              </w:rPr>
              <w:t>一、评审内容 项目供货安排评审内容点如下：①供货安排；②仓储环境；③运输及派送；④台账登记记录。 二、评审标准 1.完整性：方案须全面，对评审内容中的各项要求有详细描述； 2.可实施性：切合本项目实际情况，实施步骤清晰、合理； 3.针对性：方案能够紧扣项目实际情况，内容科学合理。 三、赋分标准 ①供货安排：每完全满足一项评审标准计1分，满分3分。 ②仓储环境：每完全满足一项评审标准计1分，满分3分。 ③运输及派送：每完全满足一项评审标准计1分，满分3分。 ④台账登记记录：每完全满足一项评审标准计1分，满分3分。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一、评审内容 项目实施方案评审内容点如下：提供人员配备方案（含人数、结构、专业、岗位分工、工作经历） 二、评审标准 1.专业性：人员配备经验丰富； 2.可实施性：切合本项目实际情况，实施步骤清晰、合理； 3.针对性：方案能够紧扣项目实际情况，内容科学合理。 三、赋分标准 拟投人员配置：每完全满足一项评审标准计2分，满分6分。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突发情况的应对措施及合理化建议</w:t>
            </w:r>
          </w:p>
        </w:tc>
        <w:tc>
          <w:tcPr>
            <w:tcW w:type="dxa" w:w="2492"/>
          </w:tcPr>
          <w:p>
            <w:pPr>
              <w:pStyle w:val="null3"/>
            </w:pPr>
            <w:r>
              <w:rPr>
                <w:rFonts w:ascii="仿宋_GB2312" w:hAnsi="仿宋_GB2312" w:cs="仿宋_GB2312" w:eastAsia="仿宋_GB2312"/>
              </w:rPr>
              <w:t>一、评审内容 突发情况的应对措施及合理化建议评审内容点如下：①临时缺货情况下的调配措施；②可替代方案；③合理化建议。 二、评审标准 1.完整性：方案须全面，对评审内容中的各项要求有详细描述； 2.可实施性：切合本项目实际情况，实施步骤清晰、合理； 3.针对性：方案能够紧扣项目实际情况，内容科学合理。 三、赋分标准 ①临时缺货情况下的调配措施：每完全满足一项评审标准计2分，满分6分。 ②可替代方案：每完全满足一项评审标准计1分，满分3分。 ③合理化建议：每完全满足一项评审标准计1分，满分3分。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售后服务评审内容点如下：①具有完善的售后服务保障体系：对服务期限内人员到位情况、后期服务的响应时间、供应计划②售后服务措施：产品配送、检验、备品配件等方面 二、评审标准 1.完整性：方案须全面，对评审内容中的各项要求有详细描述； 2.可实施性：切合本项目实际情况，实施步骤清晰、合理； 3.针对性：方案能够紧扣项目实际情况，内容科学合理。 三、赋分标准 ①售后服务保障体系：每完全满足一项评审标准计2分，满分6分。 ②售后服务措施：每完全满足一项评审标准计2分，满分6分。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业绩证明文件及响应方案说明.docx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总报价最低的供应商的价格(1-下浮率)为评标基准价，其价格分为满分。其他供应商的价格分统一按照下列公式计算：投标报价得分=（评标基准价/投标总报价）×价格权重（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对于经主管预算单位统筹后未预留份额专门面向中小企业采购的采购项目，以及预留份额项目中的非预留部分采购包，对符合《政府采购促进中小企业发展管理办法》（财库〔2020〕46号）、《关于进一步加大政府采购支持中小企业力度的通知》（财库〔2022〕19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 2、本项目对应的中小企业划分标准所属行业为：工业。根据《工业和信息化部、国家统计局、国家发展和改革委员会、财政部关于印发中小企业划型标准规定的通知》（工信部联企业〔2011〕300号）规定的划分标准，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报价一览表.docx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详见附件：业绩证明文件及响应方案说明.docx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