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版本号：CGZC-2026-034、XACH2026-02720260423001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机关办公用房租赁及配套服务（总部产业园）项目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CGZC-2026-034、XACH2026-027</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西安辰和工程咨询有限公司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机关办公用房租赁及配套服务（总部产业园）项目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CGZC-2026-034、XACH2026-027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机关办公用房租赁及配套服务（总部产业园）项目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现采购总部产业园所在的办公用房租赁及配套的物业服务，办公地点位于:欧亚一路336号中铁十二局第四工程有限公司企业办公大楼西裙楼第一层部分面积及第二层整层和主楼第四层用作办公场地和职工宿舍。租赁面积暂定:3870平方米。</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采购包1（机关办公用房租赁及配套服务（总部产业园）项目）：属于专门面向中小企业采购。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单一来源采购全过程：法定代表人授权委托书（附法定代表人身份证复印件）及被授权委托人身份证及社保证明材料（法定代表人参加投标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4、本项目不接受联合体投标：本项目不接受联合体投标（提供书面声明）。供应商需在项目电子化交易系统中按要求上传相应证明文件并进行电子签章。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采购包1：3,670,460.00元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采购包1：3,670,460.00元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100万-500万按0.8%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符合国家相关合格标准及采购人要求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现采购总部产业园所在的办公用房租赁及配套的物业服务，办公地点位于:欧亚一路336号中铁十二局第四工程有限公司企业办公大楼西裙楼第一层部分面积及第二层整层和主楼第四层用作办公场地和职工宿舍。租赁面积暂定:3870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3,670,460.00</w:t>
      </w:r>
    </w:p>
    <w:p>
      <w:pPr>
        <w:pStyle w:val="null3"/>
      </w:pPr>
      <w:r>
        <w:rPr>
          <w:rFonts w:ascii="仿宋_GB2312" w:hAnsi="仿宋_GB2312" w:cs="仿宋_GB2312" w:eastAsia="仿宋_GB2312"/>
        </w:rPr>
        <w:t>采购包最高限价（元）: 3,670,460.00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机关办公用房租赁及配套服务（总部产业园）项目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3,670,460.00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标的名称：机关办公用房租赁及配套服务（总部产业园）项目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现采购总部产业园所在的办公用房租赁及配套的物业服务，办公地点位于</w:t>
            </w:r>
            <w:r>
              <w:rPr>
                <w:rFonts w:ascii="仿宋_GB2312" w:hAnsi="仿宋_GB2312" w:cs="仿宋_GB2312" w:eastAsia="仿宋_GB2312"/>
                <w:sz w:val="24"/>
              </w:rPr>
              <w:t>:欧亚一路336号中铁十二局第四工程有限公司企业办公大楼西裙楼第一层部分面积及第二层整层和主楼第四层用作办公场地和职工宿舍。租赁面积暂定:3870平方米。</w:t>
            </w:r>
          </w:p>
          <w:p>
            <w:pPr>
              <w:pStyle w:val="null3"/>
              <w:jc w:val="both"/>
            </w:pPr>
            <w:r>
              <w:rPr>
                <w:rFonts w:ascii="仿宋_GB2312" w:hAnsi="仿宋_GB2312" w:cs="仿宋_GB2312" w:eastAsia="仿宋_GB2312"/>
                <w:sz w:val="24"/>
                <w:b/>
              </w:rPr>
              <w:t>二、预算金额</w:t>
            </w:r>
            <w:r>
              <w:rPr>
                <w:rFonts w:ascii="仿宋_GB2312" w:hAnsi="仿宋_GB2312" w:cs="仿宋_GB2312" w:eastAsia="仿宋_GB2312"/>
                <w:sz w:val="24"/>
                <w:b/>
              </w:rPr>
              <w:t>:</w:t>
            </w:r>
            <w:r>
              <w:rPr>
                <w:rFonts w:ascii="仿宋_GB2312" w:hAnsi="仿宋_GB2312" w:cs="仿宋_GB2312" w:eastAsia="仿宋_GB2312"/>
                <w:sz w:val="24"/>
              </w:rPr>
              <w:t>3670460.00</w:t>
            </w:r>
            <w:r>
              <w:rPr>
                <w:rFonts w:ascii="仿宋_GB2312" w:hAnsi="仿宋_GB2312" w:cs="仿宋_GB2312" w:eastAsia="仿宋_GB2312"/>
                <w:sz w:val="24"/>
              </w:rPr>
              <w:t>元</w:t>
            </w:r>
          </w:p>
          <w:p>
            <w:pPr>
              <w:pStyle w:val="null3"/>
              <w:jc w:val="both"/>
            </w:pPr>
            <w:r>
              <w:rPr>
                <w:rFonts w:ascii="仿宋_GB2312" w:hAnsi="仿宋_GB2312" w:cs="仿宋_GB2312" w:eastAsia="仿宋_GB2312"/>
                <w:sz w:val="24"/>
                <w:b/>
              </w:rPr>
              <w:t>三、最高限价</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房屋租赁最高限价：</w:t>
            </w:r>
            <w:r>
              <w:rPr>
                <w:rFonts w:ascii="仿宋_GB2312" w:hAnsi="仿宋_GB2312" w:cs="仿宋_GB2312" w:eastAsia="仿宋_GB2312"/>
                <w:sz w:val="24"/>
              </w:rPr>
              <w:t>55</w:t>
            </w:r>
            <w:r>
              <w:rPr>
                <w:rFonts w:ascii="仿宋_GB2312" w:hAnsi="仿宋_GB2312" w:cs="仿宋_GB2312" w:eastAsia="仿宋_GB2312"/>
                <w:sz w:val="24"/>
              </w:rPr>
              <w:t>元</w:t>
            </w:r>
            <w:r>
              <w:rPr>
                <w:rFonts w:ascii="仿宋_GB2312" w:hAnsi="仿宋_GB2312" w:cs="仿宋_GB2312" w:eastAsia="仿宋_GB2312"/>
                <w:sz w:val="24"/>
              </w:rPr>
              <w:t>/月/㎡</w:t>
            </w:r>
            <w:r>
              <w:rPr>
                <w:rFonts w:ascii="仿宋_GB2312" w:hAnsi="仿宋_GB2312" w:cs="仿宋_GB2312" w:eastAsia="仿宋_GB2312"/>
                <w:sz w:val="24"/>
              </w:rPr>
              <w:t>（</w:t>
            </w:r>
            <w:r>
              <w:rPr>
                <w:rFonts w:ascii="仿宋_GB2312" w:hAnsi="仿宋_GB2312" w:cs="仿宋_GB2312" w:eastAsia="仿宋_GB2312"/>
                <w:sz w:val="24"/>
              </w:rPr>
              <w:t>租赁期限内含地下车位</w:t>
            </w:r>
            <w:r>
              <w:rPr>
                <w:rFonts w:ascii="仿宋_GB2312" w:hAnsi="仿宋_GB2312" w:cs="仿宋_GB2312" w:eastAsia="仿宋_GB2312"/>
                <w:sz w:val="24"/>
              </w:rPr>
              <w:t>40个，车位费包含在承租房屋租金内，不另行计算</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2、物业费最高限价：</w:t>
            </w:r>
            <w:r>
              <w:rPr>
                <w:rFonts w:ascii="仿宋_GB2312" w:hAnsi="仿宋_GB2312" w:cs="仿宋_GB2312" w:eastAsia="仿宋_GB2312"/>
                <w:sz w:val="24"/>
              </w:rPr>
              <w:t>6.5</w:t>
            </w:r>
            <w:r>
              <w:rPr>
                <w:rFonts w:ascii="仿宋_GB2312" w:hAnsi="仿宋_GB2312" w:cs="仿宋_GB2312" w:eastAsia="仿宋_GB2312"/>
                <w:sz w:val="24"/>
              </w:rPr>
              <w:t>元</w:t>
            </w:r>
            <w:r>
              <w:rPr>
                <w:rFonts w:ascii="仿宋_GB2312" w:hAnsi="仿宋_GB2312" w:cs="仿宋_GB2312" w:eastAsia="仿宋_GB2312"/>
                <w:sz w:val="24"/>
              </w:rPr>
              <w:t>/月/㎡。</w:t>
            </w:r>
          </w:p>
          <w:p>
            <w:pPr>
              <w:pStyle w:val="null3"/>
              <w:jc w:val="both"/>
            </w:pPr>
            <w:r>
              <w:rPr>
                <w:rFonts w:ascii="仿宋_GB2312" w:hAnsi="仿宋_GB2312" w:cs="仿宋_GB2312" w:eastAsia="仿宋_GB2312"/>
                <w:sz w:val="24"/>
              </w:rPr>
              <w:t>3、水费最高限价：</w:t>
            </w:r>
            <w:r>
              <w:rPr>
                <w:rFonts w:ascii="仿宋_GB2312" w:hAnsi="仿宋_GB2312" w:cs="仿宋_GB2312" w:eastAsia="仿宋_GB2312"/>
                <w:sz w:val="24"/>
              </w:rPr>
              <w:t>8</w:t>
            </w:r>
            <w:r>
              <w:rPr>
                <w:rFonts w:ascii="仿宋_GB2312" w:hAnsi="仿宋_GB2312" w:cs="仿宋_GB2312" w:eastAsia="仿宋_GB2312"/>
                <w:sz w:val="24"/>
              </w:rPr>
              <w:t>元</w:t>
            </w:r>
            <w:r>
              <w:rPr>
                <w:rFonts w:ascii="仿宋_GB2312" w:hAnsi="仿宋_GB2312" w:cs="仿宋_GB2312" w:eastAsia="仿宋_GB2312"/>
                <w:sz w:val="24"/>
              </w:rPr>
              <w:t>/吨，年使用水量约12500吨。</w:t>
            </w:r>
          </w:p>
          <w:p>
            <w:pPr>
              <w:pStyle w:val="null3"/>
              <w:jc w:val="both"/>
            </w:pPr>
            <w:r>
              <w:rPr>
                <w:rFonts w:ascii="仿宋_GB2312" w:hAnsi="仿宋_GB2312" w:cs="仿宋_GB2312" w:eastAsia="仿宋_GB2312"/>
                <w:sz w:val="24"/>
              </w:rPr>
              <w:t>4、电费最高限价：1元/度，年使用电量约250000度。</w:t>
            </w:r>
          </w:p>
          <w:p>
            <w:pPr>
              <w:pStyle w:val="null3"/>
              <w:jc w:val="both"/>
            </w:pPr>
            <w:r>
              <w:rPr>
                <w:rFonts w:ascii="仿宋_GB2312" w:hAnsi="仿宋_GB2312" w:cs="仿宋_GB2312" w:eastAsia="仿宋_GB2312"/>
                <w:sz w:val="24"/>
              </w:rPr>
              <w:t>5、中央空调费最高限价：15元/月/㎡，中央空调使用期8个月。</w:t>
            </w:r>
          </w:p>
          <w:p>
            <w:pPr>
              <w:pStyle w:val="null3"/>
              <w:jc w:val="both"/>
            </w:pPr>
            <w:r>
              <w:rPr>
                <w:rFonts w:ascii="仿宋_GB2312" w:hAnsi="仿宋_GB2312" w:cs="仿宋_GB2312" w:eastAsia="仿宋_GB2312"/>
                <w:sz w:val="24"/>
              </w:rPr>
              <w:t>注：本项目涉及的水、电、中央空调数量为暂定，供应商报价时按照暂定数量进行报价，最终据实结算。</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4"/>
              </w:rPr>
              <w:t>提供满足总部产业园办公需求的租赁物用作办公场所及配套的物业服务，租赁物需包含完整的办公区域划分并配备符合办公标准的基础装修，提供车辆管理服务及中央空调的供应维修。</w:t>
            </w:r>
            <w:r>
              <w:rPr>
                <w:rFonts w:ascii="仿宋_GB2312" w:hAnsi="仿宋_GB2312" w:cs="仿宋_GB2312" w:eastAsia="仿宋_GB2312"/>
                <w:sz w:val="24"/>
              </w:rPr>
              <w:t>租赁</w:t>
            </w:r>
            <w:r>
              <w:rPr>
                <w:rFonts w:ascii="仿宋_GB2312" w:hAnsi="仿宋_GB2312" w:cs="仿宋_GB2312" w:eastAsia="仿宋_GB2312"/>
                <w:sz w:val="24"/>
              </w:rPr>
              <w:t>时限：</w:t>
            </w:r>
            <w:r>
              <w:rPr>
                <w:rFonts w:ascii="仿宋_GB2312" w:hAnsi="仿宋_GB2312" w:cs="仿宋_GB2312" w:eastAsia="仿宋_GB2312"/>
                <w:sz w:val="24"/>
              </w:rPr>
              <w:t>1年，租赁方保证对出租房屋具有完全的民事权利，不存在任何产权纠纷和债权债务纠纷，确保满足承租方独立办公使用。</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、技术要求</w:t>
            </w:r>
          </w:p>
          <w:p>
            <w:pPr>
              <w:pStyle w:val="null3"/>
              <w:jc w:val="both"/>
            </w:pPr>
            <w:r>
              <w:rPr>
                <w:rFonts w:ascii="仿宋_GB2312" w:hAnsi="仿宋_GB2312" w:cs="仿宋_GB2312" w:eastAsia="仿宋_GB2312"/>
                <w:sz w:val="24"/>
              </w:rPr>
              <w:t>1、出租方应保证租赁物满足</w:t>
            </w:r>
            <w:r>
              <w:rPr>
                <w:rFonts w:ascii="仿宋_GB2312" w:hAnsi="仿宋_GB2312" w:cs="仿宋_GB2312" w:eastAsia="仿宋_GB2312"/>
                <w:sz w:val="24"/>
              </w:rPr>
              <w:t>采购人</w:t>
            </w:r>
            <w:r>
              <w:rPr>
                <w:rFonts w:ascii="仿宋_GB2312" w:hAnsi="仿宋_GB2312" w:cs="仿宋_GB2312" w:eastAsia="仿宋_GB2312"/>
                <w:sz w:val="24"/>
              </w:rPr>
              <w:t>独立办公使用，保障</w:t>
            </w:r>
            <w:r>
              <w:rPr>
                <w:rFonts w:ascii="仿宋_GB2312" w:hAnsi="仿宋_GB2312" w:cs="仿宋_GB2312" w:eastAsia="仿宋_GB2312"/>
                <w:sz w:val="24"/>
              </w:rPr>
              <w:t>采购人</w:t>
            </w:r>
            <w:r>
              <w:rPr>
                <w:rFonts w:ascii="仿宋_GB2312" w:hAnsi="仿宋_GB2312" w:cs="仿宋_GB2312" w:eastAsia="仿宋_GB2312"/>
                <w:sz w:val="24"/>
              </w:rPr>
              <w:t>独立通行。</w:t>
            </w:r>
          </w:p>
          <w:p>
            <w:pPr>
              <w:pStyle w:val="null3"/>
              <w:jc w:val="both"/>
            </w:pPr>
            <w:r>
              <w:rPr>
                <w:rFonts w:ascii="仿宋_GB2312" w:hAnsi="仿宋_GB2312" w:cs="仿宋_GB2312" w:eastAsia="仿宋_GB2312"/>
                <w:sz w:val="24"/>
              </w:rPr>
              <w:t>2、出租方交付租赁物，同时开始提供租赁物供水，供电，中央空调等相关配套服务。应定期检查保养租赁物及其附属设施设备，确保租赁物及其设施设备处于良好运行状态。</w:t>
            </w:r>
          </w:p>
          <w:p>
            <w:pPr>
              <w:pStyle w:val="null3"/>
              <w:jc w:val="both"/>
            </w:pPr>
            <w:r>
              <w:rPr>
                <w:rFonts w:ascii="仿宋_GB2312" w:hAnsi="仿宋_GB2312" w:cs="仿宋_GB2312" w:eastAsia="仿宋_GB2312"/>
                <w:sz w:val="24"/>
              </w:rPr>
              <w:t>3、出租方应做好租赁期限内的应急管理工作。</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出租方保证出租的房屋没有产权纠纷，债权债务纠纷。因出租方原因，造成出租房屋发生产权，债权债务的，则由出租方承担全部责任，出租方应立即排除妨碍，如影响采购人使用或给采购人造成损失的，由出租方给予赔偿，范围包括给采购人造成的实际损失，可预期利益，以及采购人因维权所产生的全部相关费用。</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、在房屋出租前，合同存续期间不允许出租方将房屋作为抵押贷款，否则采购人有权终止合同，并对出租方违约行为进行追究，同时按《中华人民共和国政府采购法》的有关规定进行处罚。</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租赁标准：符合《党政机关办公用房建设标准》。</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1、服务期限：自合同签订后1年。</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款项结算：</w:t>
            </w:r>
            <w:r>
              <w:rPr>
                <w:rFonts w:ascii="仿宋_GB2312" w:hAnsi="仿宋_GB2312" w:cs="仿宋_GB2312" w:eastAsia="仿宋_GB2312"/>
                <w:sz w:val="24"/>
              </w:rPr>
              <w:t>供应商</w:t>
            </w:r>
            <w:r>
              <w:rPr>
                <w:rFonts w:ascii="仿宋_GB2312" w:hAnsi="仿宋_GB2312" w:cs="仿宋_GB2312" w:eastAsia="仿宋_GB2312"/>
                <w:sz w:val="24"/>
              </w:rPr>
              <w:t>在合同签订后向</w:t>
            </w:r>
            <w:r>
              <w:rPr>
                <w:rFonts w:ascii="仿宋_GB2312" w:hAnsi="仿宋_GB2312" w:cs="仿宋_GB2312" w:eastAsia="仿宋_GB2312"/>
                <w:sz w:val="24"/>
              </w:rPr>
              <w:t>采购人</w:t>
            </w:r>
            <w:r>
              <w:rPr>
                <w:rFonts w:ascii="仿宋_GB2312" w:hAnsi="仿宋_GB2312" w:cs="仿宋_GB2312" w:eastAsia="仿宋_GB2312"/>
                <w:sz w:val="24"/>
              </w:rPr>
              <w:t>开具租金发票，</w:t>
            </w:r>
            <w:r>
              <w:rPr>
                <w:rFonts w:ascii="仿宋_GB2312" w:hAnsi="仿宋_GB2312" w:cs="仿宋_GB2312" w:eastAsia="仿宋_GB2312"/>
                <w:sz w:val="24"/>
              </w:rPr>
              <w:t>采购人</w:t>
            </w:r>
            <w:r>
              <w:rPr>
                <w:rFonts w:ascii="仿宋_GB2312" w:hAnsi="仿宋_GB2312" w:cs="仿宋_GB2312" w:eastAsia="仿宋_GB2312"/>
                <w:sz w:val="24"/>
              </w:rPr>
              <w:t>自收到发票后向</w:t>
            </w:r>
            <w:r>
              <w:rPr>
                <w:rFonts w:ascii="仿宋_GB2312" w:hAnsi="仿宋_GB2312" w:cs="仿宋_GB2312" w:eastAsia="仿宋_GB2312"/>
                <w:sz w:val="24"/>
              </w:rPr>
              <w:t>供应商每半年</w:t>
            </w:r>
            <w:r>
              <w:rPr>
                <w:rFonts w:ascii="仿宋_GB2312" w:hAnsi="仿宋_GB2312" w:cs="仿宋_GB2312" w:eastAsia="仿宋_GB2312"/>
                <w:sz w:val="24"/>
              </w:rPr>
              <w:t>支付</w:t>
            </w:r>
            <w:r>
              <w:rPr>
                <w:rFonts w:ascii="仿宋_GB2312" w:hAnsi="仿宋_GB2312" w:cs="仿宋_GB2312" w:eastAsia="仿宋_GB2312"/>
                <w:sz w:val="24"/>
              </w:rPr>
              <w:t>一次</w:t>
            </w:r>
            <w:r>
              <w:rPr>
                <w:rFonts w:ascii="仿宋_GB2312" w:hAnsi="仿宋_GB2312" w:cs="仿宋_GB2312" w:eastAsia="仿宋_GB2312"/>
                <w:sz w:val="24"/>
              </w:rPr>
              <w:t>租金。</w:t>
            </w:r>
          </w:p>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、其他</w:t>
            </w:r>
          </w:p>
          <w:p>
            <w:pPr>
              <w:pStyle w:val="null3"/>
            </w:pPr>
            <w:r>
              <w:rPr>
                <w:rFonts w:ascii="仿宋_GB2312" w:hAnsi="仿宋_GB2312" w:cs="仿宋_GB2312" w:eastAsia="仿宋_GB2312"/>
                <w:sz w:val="24"/>
              </w:rPr>
              <w:t>其余事项按照相关法律法规。</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供应商在合同签订后向采购人开具租金发票，采购人自收到发票后向供应商每半年支付一次租金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供应商在合同签订后向采购人开具租金发票，采购人自收到发票后向供应商每半年支付一次租金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采购人按照政府采购合同规定的技术、服务、安全标准组织对供应商履约情况进行验收。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应商未达到单一来源采购文件采购内容规定的服务标准或单一来源响应文件中承诺的视为违约，自违约之日起，每日按合同价款的1‰向采购人承担违约责任（从合同款中直接扣除）并且及时采取有效补救措施，并继续履行本合同所规定的义务。 2、租赁期限内，任何一方的违约行为导致本合同解除，给守约方造成经济损失的，违约方应当承担赔偿责任，赔偿范围包括但不限于赔偿金（按照月租金1.25倍标准支付）、逾期租金收益、罚款、诉讼费、律师服务费等所需费用，以及守约方维权过程中产生的交通食宿费等合理经济损失。 3、未按合同要求提供服务、质量不能满足技术要求，采购人有权终止合同，并对供应商违约行为进行追究，同时按《中华人民共和国政府采购法》的有关规定进行处罚。 4、如因供应商房屋产权纠纷造成采购人损失的，须按照《中华人民共和国民法典》的相关赔偿要求向采购人予以赔偿。 解决争议办法：本协议在履行过程中发生的争议，由双方当事人协商解决，也可由有关部门调解；协商或调解不成的，依法向租赁房屋所在地有管辖权的人民法院起诉。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采购人或采购代理机构将在投标截止日当天资格审查阶段通过〔信用中国（www.creditchina.gov.cn）〕和〔中国政府采购网（www.ccgp.gov.cn）〕网站对供应商的信用情况进行查询（符合《财政部关于在政府采购活动中查询及使用信用记录有关问题的通知》（财库〔2016〕125号）文件中信用查询的要求），并将网页截图附在评审资料中。 3.4.2总报价的组成 合同价款为完成本项目单一来源采购文件中所提出的工作范围及要求的全部内容，并达到国家及采购人验收标准而产生的所有费用，包括但不限于完成本项目房屋租赁费、房屋维修维保费、人工费（含工资、人工费、社保、降温费、高温津贴、取暖费、慰问、体检、商业险等所有福利待遇，工资、福利待遇和社保标准按当地最新政策执行）、物业费、水电费、中央空调费、办公费、招标代理服务费、利润、税金、风险等完成本项目所需的全部费用。任何错报、漏报由供应商自行负责。 3.4.3本项目所属行业：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3.4.4中标人领取中标通知书时须向代理机构提交纸质版响应文件：正本壹份、副本贰份、电子版（U盘）贰份。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供应商应授权合法的人员参加单一来源采购全过程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社保证明材料（法定代表人参加投标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投标报价有可能影响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响应报价合理性的，评标委员会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协商响应内容无重大缺项、漏项</w:t>
            </w:r>
          </w:p>
        </w:tc>
        <w:tc>
          <w:tcPr>
            <w:tcW w:type="dxa" w:w="1661"/>
          </w:tcPr>
          <w:p>
            <w:pPr>
              <w:pStyle w:val="null3"/>
            </w:pPr>
            <w:r>
              <w:rPr>
                <w:rFonts w:ascii="仿宋_GB2312" w:hAnsi="仿宋_GB2312" w:cs="仿宋_GB2312" w:eastAsia="仿宋_GB2312"/>
              </w:rPr>
              <w:t>服务内容及服务邀请应答表 中小企业声明函 商务应答表 报价表 首次报价一览表及分项报价表 响应文件封面 响应方案说明 政府采购供应商拒绝政府采购领域商业贿赂承诺书 资格证明文件 残疾人福利性单位声明函 标的清单 供应商承诺书 响应函 最终报价表及分项报价表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响应文件的签署、加盖印章有效</w:t>
            </w:r>
          </w:p>
        </w:tc>
        <w:tc>
          <w:tcPr>
            <w:tcW w:type="dxa" w:w="1661"/>
          </w:tcPr>
          <w:p>
            <w:pPr>
              <w:pStyle w:val="null3"/>
            </w:pPr>
            <w:r>
              <w:rPr>
                <w:rFonts w:ascii="仿宋_GB2312" w:hAnsi="仿宋_GB2312" w:cs="仿宋_GB2312" w:eastAsia="仿宋_GB2312"/>
              </w:rPr>
              <w:t>服务内容及服务邀请应答表 中小企业声明函 商务应答表 报价表 首次报价一览表及分项报价表 响应文件封面 响应方案说明 政府采购供应商拒绝政府采购领域商业贿赂承诺书 资格证明文件 残疾人福利性单位声明函 标的清单 供应商承诺书 响应函 最终报价表及分项报价表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协商响应报价未超过采购预算；协商响应有效期符合单一来源采购文件的要求</w:t>
            </w:r>
          </w:p>
        </w:tc>
        <w:tc>
          <w:tcPr>
            <w:tcW w:type="dxa" w:w="1661"/>
          </w:tcPr>
          <w:p>
            <w:pPr>
              <w:pStyle w:val="null3"/>
            </w:pPr>
            <w:r>
              <w:rPr>
                <w:rFonts w:ascii="仿宋_GB2312" w:hAnsi="仿宋_GB2312" w:cs="仿宋_GB2312" w:eastAsia="仿宋_GB2312"/>
              </w:rPr>
              <w:t>服务内容及服务邀请应答表 中小企业声明函 商务应答表 报价表 首次报价一览表及分项报价表 响应文件封面 响应方案说明 政府采购供应商拒绝政府采购领域商业贿赂承诺书 资格证明文件 残疾人福利性单位声明函 标的清单 供应商承诺书 响应函 最终报价表及分项报价表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详见附件：首次报价一览表及分项报价表</w:t>
      </w:r>
    </w:p>
    <w:p>
      <w:pPr>
        <w:pStyle w:val="null3"/>
        <w:ind w:firstLine="960"/>
      </w:pPr>
      <w:r>
        <w:rPr>
          <w:rFonts w:ascii="仿宋_GB2312" w:hAnsi="仿宋_GB2312" w:cs="仿宋_GB2312" w:eastAsia="仿宋_GB2312"/>
        </w:rPr>
        <w:t>详见附件：响应方案说明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详见附件：最终报价表及分项报价表</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